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9BD" w:rsidRPr="00DD4D40" w:rsidRDefault="0024608B" w:rsidP="002F0C19">
      <w:r w:rsidRPr="00DD4D40">
        <w:rPr>
          <w:noProof/>
        </w:rPr>
        <w:drawing>
          <wp:anchor distT="0" distB="0" distL="114300" distR="114300" simplePos="0" relativeHeight="251659264" behindDoc="0" locked="0" layoutInCell="1" allowOverlap="1">
            <wp:simplePos x="0" y="0"/>
            <wp:positionH relativeFrom="column">
              <wp:posOffset>2332533</wp:posOffset>
            </wp:positionH>
            <wp:positionV relativeFrom="paragraph">
              <wp:posOffset>68571</wp:posOffset>
            </wp:positionV>
            <wp:extent cx="969449" cy="959476"/>
            <wp:effectExtent l="19050" t="0" r="2101" b="0"/>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969449" cy="959476"/>
                    </a:xfrm>
                    <a:prstGeom prst="rect">
                      <a:avLst/>
                    </a:prstGeom>
                    <a:noFill/>
                    <a:ln w="9525">
                      <a:noFill/>
                      <a:miter lim="800000"/>
                      <a:headEnd/>
                      <a:tailEnd/>
                    </a:ln>
                  </pic:spPr>
                </pic:pic>
              </a:graphicData>
            </a:graphic>
          </wp:anchor>
        </w:drawing>
      </w:r>
    </w:p>
    <w:p w:rsidR="00EA19BD" w:rsidRDefault="00EA19BD" w:rsidP="00EA19BD">
      <w:pPr>
        <w:pStyle w:val="Cm"/>
      </w:pPr>
    </w:p>
    <w:p w:rsidR="00EA19BD" w:rsidRDefault="00EA19BD" w:rsidP="00EA19BD">
      <w:pPr>
        <w:pStyle w:val="Cm"/>
      </w:pPr>
    </w:p>
    <w:p w:rsidR="00EA19BD" w:rsidRDefault="00EA19BD" w:rsidP="00EA19BD">
      <w:pPr>
        <w:pStyle w:val="Cm"/>
      </w:pPr>
    </w:p>
    <w:p w:rsidR="00EA19BD" w:rsidRDefault="00EA19BD" w:rsidP="00EA19BD">
      <w:pPr>
        <w:pStyle w:val="Cm"/>
      </w:pPr>
    </w:p>
    <w:p w:rsidR="00EA19BD" w:rsidRDefault="00EA19BD" w:rsidP="00DD4D40"/>
    <w:p w:rsidR="009532E0" w:rsidRPr="002F0C19" w:rsidRDefault="009532E0" w:rsidP="002F0C19">
      <w:pPr>
        <w:jc w:val="both"/>
        <w:rPr>
          <w:caps/>
        </w:rPr>
      </w:pPr>
    </w:p>
    <w:p w:rsidR="00EA19BD" w:rsidRPr="00DD4D40" w:rsidRDefault="00EA19BD" w:rsidP="00DD4D40">
      <w:pPr>
        <w:jc w:val="center"/>
        <w:rPr>
          <w:b/>
          <w:caps/>
          <w:sz w:val="40"/>
          <w:szCs w:val="40"/>
        </w:rPr>
      </w:pPr>
      <w:r w:rsidRPr="00DD4D40">
        <w:rPr>
          <w:b/>
          <w:caps/>
          <w:sz w:val="40"/>
          <w:szCs w:val="40"/>
        </w:rPr>
        <w:t>pályázati feltételek</w:t>
      </w:r>
    </w:p>
    <w:p w:rsidR="00EA19BD" w:rsidRDefault="00EA19BD" w:rsidP="00DD4D40">
      <w:pPr>
        <w:rPr>
          <w:bCs/>
        </w:rPr>
      </w:pPr>
    </w:p>
    <w:p w:rsidR="00B40896" w:rsidRDefault="00B40896" w:rsidP="00DD4D40">
      <w:pPr>
        <w:rPr>
          <w:bCs/>
        </w:rPr>
      </w:pPr>
    </w:p>
    <w:p w:rsidR="0099010E" w:rsidRDefault="00EA19BD" w:rsidP="008A338F">
      <w:pPr>
        <w:jc w:val="center"/>
        <w:rPr>
          <w:b/>
          <w:bCs/>
          <w:sz w:val="36"/>
          <w:szCs w:val="36"/>
        </w:rPr>
      </w:pPr>
      <w:r w:rsidRPr="005D4DB6">
        <w:rPr>
          <w:b/>
          <w:bCs/>
          <w:sz w:val="36"/>
          <w:szCs w:val="36"/>
        </w:rPr>
        <w:t>Salgótarján</w:t>
      </w:r>
      <w:r w:rsidR="0099010E">
        <w:rPr>
          <w:b/>
          <w:bCs/>
          <w:sz w:val="36"/>
          <w:szCs w:val="36"/>
        </w:rPr>
        <w:t xml:space="preserve"> közigazgatási területén található </w:t>
      </w:r>
    </w:p>
    <w:p w:rsidR="0099010E" w:rsidRDefault="0099010E" w:rsidP="007E14BE">
      <w:pPr>
        <w:jc w:val="center"/>
        <w:rPr>
          <w:b/>
          <w:bCs/>
          <w:sz w:val="36"/>
          <w:szCs w:val="36"/>
        </w:rPr>
      </w:pPr>
      <w:r>
        <w:rPr>
          <w:b/>
          <w:bCs/>
          <w:sz w:val="36"/>
          <w:szCs w:val="36"/>
        </w:rPr>
        <w:t>119 hrsz-ú (Salgótarján, Frankel Leó út 62.),</w:t>
      </w:r>
    </w:p>
    <w:p w:rsidR="00C74462" w:rsidRDefault="0099010E" w:rsidP="008A338F">
      <w:pPr>
        <w:jc w:val="center"/>
        <w:rPr>
          <w:b/>
          <w:bCs/>
          <w:sz w:val="36"/>
          <w:szCs w:val="36"/>
        </w:rPr>
      </w:pPr>
      <w:r>
        <w:rPr>
          <w:b/>
          <w:bCs/>
          <w:sz w:val="36"/>
          <w:szCs w:val="36"/>
        </w:rPr>
        <w:t>5162/9</w:t>
      </w:r>
      <w:r w:rsidRPr="0099010E">
        <w:rPr>
          <w:b/>
          <w:bCs/>
          <w:sz w:val="36"/>
          <w:szCs w:val="36"/>
        </w:rPr>
        <w:t xml:space="preserve"> </w:t>
      </w:r>
      <w:r>
        <w:rPr>
          <w:b/>
          <w:bCs/>
          <w:sz w:val="36"/>
          <w:szCs w:val="36"/>
        </w:rPr>
        <w:t xml:space="preserve">hrsz-ú (Salgótarján, </w:t>
      </w:r>
      <w:r w:rsidR="00C74462">
        <w:rPr>
          <w:b/>
          <w:bCs/>
          <w:sz w:val="36"/>
          <w:szCs w:val="36"/>
        </w:rPr>
        <w:t>Újakna</w:t>
      </w:r>
      <w:r w:rsidR="0049466E">
        <w:rPr>
          <w:b/>
          <w:bCs/>
          <w:sz w:val="36"/>
          <w:szCs w:val="36"/>
        </w:rPr>
        <w:t>i</w:t>
      </w:r>
      <w:r w:rsidR="00C74462">
        <w:rPr>
          <w:b/>
          <w:bCs/>
          <w:sz w:val="36"/>
          <w:szCs w:val="36"/>
        </w:rPr>
        <w:t xml:space="preserve"> út 35</w:t>
      </w:r>
      <w:r>
        <w:rPr>
          <w:b/>
          <w:bCs/>
          <w:sz w:val="36"/>
          <w:szCs w:val="36"/>
        </w:rPr>
        <w:t>/A.),</w:t>
      </w:r>
    </w:p>
    <w:p w:rsidR="00C74462" w:rsidRDefault="0099010E" w:rsidP="008A338F">
      <w:pPr>
        <w:jc w:val="center"/>
        <w:rPr>
          <w:b/>
          <w:bCs/>
          <w:sz w:val="36"/>
          <w:szCs w:val="36"/>
        </w:rPr>
      </w:pPr>
      <w:r>
        <w:rPr>
          <w:b/>
          <w:bCs/>
          <w:sz w:val="36"/>
          <w:szCs w:val="36"/>
        </w:rPr>
        <w:t>5162/10</w:t>
      </w:r>
      <w:r w:rsidR="00C74462" w:rsidRPr="00C74462">
        <w:rPr>
          <w:b/>
          <w:bCs/>
          <w:sz w:val="36"/>
          <w:szCs w:val="36"/>
        </w:rPr>
        <w:t xml:space="preserve"> </w:t>
      </w:r>
      <w:r w:rsidR="00C74462">
        <w:rPr>
          <w:b/>
          <w:bCs/>
          <w:sz w:val="36"/>
          <w:szCs w:val="36"/>
        </w:rPr>
        <w:t>hrsz-ú (Salgótarján, Újakna</w:t>
      </w:r>
      <w:r w:rsidR="0049466E">
        <w:rPr>
          <w:b/>
          <w:bCs/>
          <w:sz w:val="36"/>
          <w:szCs w:val="36"/>
        </w:rPr>
        <w:t>i</w:t>
      </w:r>
      <w:r w:rsidR="00C74462">
        <w:rPr>
          <w:b/>
          <w:bCs/>
          <w:sz w:val="36"/>
          <w:szCs w:val="36"/>
        </w:rPr>
        <w:t xml:space="preserve"> út 35/B.),</w:t>
      </w:r>
    </w:p>
    <w:p w:rsidR="00C74462" w:rsidRDefault="0099010E" w:rsidP="008A338F">
      <w:pPr>
        <w:jc w:val="center"/>
        <w:rPr>
          <w:b/>
          <w:bCs/>
          <w:sz w:val="36"/>
          <w:szCs w:val="36"/>
        </w:rPr>
      </w:pPr>
      <w:r>
        <w:rPr>
          <w:b/>
          <w:bCs/>
          <w:sz w:val="36"/>
          <w:szCs w:val="36"/>
        </w:rPr>
        <w:t xml:space="preserve">5162/11 </w:t>
      </w:r>
      <w:r w:rsidR="00C74462">
        <w:rPr>
          <w:b/>
          <w:bCs/>
          <w:sz w:val="36"/>
          <w:szCs w:val="36"/>
        </w:rPr>
        <w:t>hrsz-ú (Salgótarján, Újakna</w:t>
      </w:r>
      <w:r w:rsidR="0049466E">
        <w:rPr>
          <w:b/>
          <w:bCs/>
          <w:sz w:val="36"/>
          <w:szCs w:val="36"/>
        </w:rPr>
        <w:t>i</w:t>
      </w:r>
      <w:r w:rsidR="00C74462">
        <w:rPr>
          <w:b/>
          <w:bCs/>
          <w:sz w:val="36"/>
          <w:szCs w:val="36"/>
        </w:rPr>
        <w:t xml:space="preserve"> út 33/B.),</w:t>
      </w:r>
    </w:p>
    <w:p w:rsidR="00EA19BD" w:rsidRPr="005D4DB6" w:rsidRDefault="0099010E" w:rsidP="008A338F">
      <w:pPr>
        <w:jc w:val="center"/>
        <w:rPr>
          <w:b/>
          <w:bCs/>
          <w:sz w:val="36"/>
          <w:szCs w:val="36"/>
        </w:rPr>
      </w:pPr>
      <w:r>
        <w:rPr>
          <w:b/>
          <w:bCs/>
          <w:sz w:val="36"/>
          <w:szCs w:val="36"/>
        </w:rPr>
        <w:t>belterületi föld</w:t>
      </w:r>
      <w:r w:rsidR="005D4DB6" w:rsidRPr="005D4DB6">
        <w:rPr>
          <w:b/>
          <w:bCs/>
          <w:sz w:val="36"/>
          <w:szCs w:val="36"/>
        </w:rPr>
        <w:t>ingatlan</w:t>
      </w:r>
      <w:r>
        <w:rPr>
          <w:b/>
          <w:bCs/>
          <w:sz w:val="36"/>
          <w:szCs w:val="36"/>
        </w:rPr>
        <w:t>ok</w:t>
      </w:r>
      <w:r w:rsidR="008A338F">
        <w:rPr>
          <w:b/>
          <w:bCs/>
          <w:sz w:val="36"/>
          <w:szCs w:val="36"/>
        </w:rPr>
        <w:t xml:space="preserve"> </w:t>
      </w:r>
      <w:r w:rsidR="005D4DB6" w:rsidRPr="005D4DB6">
        <w:rPr>
          <w:b/>
          <w:bCs/>
          <w:sz w:val="36"/>
          <w:szCs w:val="36"/>
        </w:rPr>
        <w:t>értékesítése</w:t>
      </w:r>
    </w:p>
    <w:p w:rsidR="00EA19BD" w:rsidRPr="002F0C19" w:rsidRDefault="00EA19BD" w:rsidP="002F0C19">
      <w:pPr>
        <w:jc w:val="both"/>
        <w:rPr>
          <w:bCs/>
        </w:rPr>
      </w:pPr>
    </w:p>
    <w:p w:rsidR="00EA19BD" w:rsidRPr="002F0C19" w:rsidRDefault="00EA19BD" w:rsidP="002F0C19">
      <w:pPr>
        <w:jc w:val="both"/>
        <w:rPr>
          <w:bCs/>
        </w:rPr>
      </w:pPr>
    </w:p>
    <w:p w:rsidR="005D4DB6" w:rsidRPr="002F0C19" w:rsidRDefault="005D4DB6" w:rsidP="002F0C19">
      <w:pPr>
        <w:jc w:val="both"/>
      </w:pPr>
    </w:p>
    <w:p w:rsidR="0099010E" w:rsidRPr="002F0C19" w:rsidRDefault="0099010E" w:rsidP="002F0C19">
      <w:pPr>
        <w:jc w:val="both"/>
      </w:pPr>
    </w:p>
    <w:p w:rsidR="002F0C19" w:rsidRPr="002F0C19" w:rsidRDefault="002F0C19" w:rsidP="002F0C19">
      <w:pPr>
        <w:jc w:val="both"/>
      </w:pPr>
    </w:p>
    <w:p w:rsidR="0099010E" w:rsidRPr="00184CA0" w:rsidRDefault="00184CA0" w:rsidP="00DD4D40">
      <w:pPr>
        <w:jc w:val="center"/>
        <w:rPr>
          <w:b/>
          <w:u w:val="single"/>
        </w:rPr>
      </w:pPr>
      <w:r w:rsidRPr="00184CA0">
        <w:rPr>
          <w:b/>
          <w:u w:val="single"/>
        </w:rPr>
        <w:t xml:space="preserve">Az ingatlanokra a pályázat helyrajzi </w:t>
      </w:r>
      <w:proofErr w:type="spellStart"/>
      <w:r w:rsidRPr="00184CA0">
        <w:rPr>
          <w:b/>
          <w:u w:val="single"/>
        </w:rPr>
        <w:t>számo</w:t>
      </w:r>
      <w:r w:rsidR="00930B65">
        <w:rPr>
          <w:b/>
          <w:u w:val="single"/>
        </w:rPr>
        <w:t>n</w:t>
      </w:r>
      <w:r w:rsidRPr="00184CA0">
        <w:rPr>
          <w:b/>
          <w:u w:val="single"/>
        </w:rPr>
        <w:t>ként</w:t>
      </w:r>
      <w:proofErr w:type="spellEnd"/>
      <w:r w:rsidRPr="00184CA0">
        <w:rPr>
          <w:b/>
          <w:u w:val="single"/>
        </w:rPr>
        <w:t xml:space="preserve"> külön nyújtható be! </w:t>
      </w:r>
    </w:p>
    <w:p w:rsidR="0099010E" w:rsidRPr="002F0C19" w:rsidRDefault="0099010E" w:rsidP="002F0C19">
      <w:pPr>
        <w:jc w:val="both"/>
      </w:pPr>
    </w:p>
    <w:p w:rsidR="0099010E" w:rsidRPr="002F0C19" w:rsidRDefault="0099010E" w:rsidP="002F0C19">
      <w:pPr>
        <w:jc w:val="both"/>
      </w:pPr>
    </w:p>
    <w:p w:rsidR="0099010E" w:rsidRPr="002F0C19" w:rsidRDefault="0099010E" w:rsidP="002F0C19">
      <w:pPr>
        <w:jc w:val="both"/>
      </w:pPr>
    </w:p>
    <w:p w:rsidR="0099010E" w:rsidRPr="002F0C19" w:rsidRDefault="0099010E" w:rsidP="002F0C19">
      <w:pPr>
        <w:jc w:val="both"/>
      </w:pPr>
    </w:p>
    <w:p w:rsidR="0099010E" w:rsidRPr="002F0C19" w:rsidRDefault="0099010E" w:rsidP="002F0C19">
      <w:pPr>
        <w:jc w:val="both"/>
      </w:pPr>
    </w:p>
    <w:p w:rsidR="0099010E" w:rsidRPr="002F0C19" w:rsidRDefault="0099010E" w:rsidP="002F0C19">
      <w:pPr>
        <w:jc w:val="both"/>
      </w:pPr>
    </w:p>
    <w:p w:rsidR="0099010E" w:rsidRPr="002F0C19" w:rsidRDefault="0099010E" w:rsidP="002F0C19">
      <w:pPr>
        <w:jc w:val="both"/>
      </w:pPr>
    </w:p>
    <w:p w:rsidR="0099010E" w:rsidRPr="002F0C19" w:rsidRDefault="0099010E" w:rsidP="002F0C19">
      <w:pPr>
        <w:jc w:val="both"/>
      </w:pPr>
    </w:p>
    <w:p w:rsidR="0099010E" w:rsidRPr="002F0C19" w:rsidRDefault="0099010E" w:rsidP="002F0C19">
      <w:pPr>
        <w:jc w:val="both"/>
      </w:pPr>
    </w:p>
    <w:p w:rsidR="00A40018" w:rsidRPr="002F0C19" w:rsidRDefault="00A40018" w:rsidP="002F0C19">
      <w:pPr>
        <w:jc w:val="both"/>
      </w:pPr>
    </w:p>
    <w:p w:rsidR="0099010E" w:rsidRDefault="0099010E" w:rsidP="002F0C19">
      <w:pPr>
        <w:jc w:val="both"/>
      </w:pPr>
    </w:p>
    <w:p w:rsidR="002F0C19" w:rsidRPr="002F0C19" w:rsidRDefault="002F0C19" w:rsidP="002F0C19">
      <w:pPr>
        <w:jc w:val="both"/>
      </w:pPr>
    </w:p>
    <w:p w:rsidR="0099010E" w:rsidRDefault="0099010E" w:rsidP="002F0C19">
      <w:pPr>
        <w:jc w:val="both"/>
      </w:pPr>
    </w:p>
    <w:p w:rsidR="002F0C19" w:rsidRDefault="002F0C19" w:rsidP="002F0C19">
      <w:pPr>
        <w:jc w:val="both"/>
      </w:pPr>
    </w:p>
    <w:p w:rsidR="002F0C19" w:rsidRDefault="002F0C19" w:rsidP="002F0C19">
      <w:pPr>
        <w:jc w:val="both"/>
      </w:pPr>
    </w:p>
    <w:p w:rsidR="002F0C19" w:rsidRDefault="002F0C19" w:rsidP="002F0C19">
      <w:pPr>
        <w:jc w:val="both"/>
      </w:pPr>
    </w:p>
    <w:p w:rsidR="002F0C19" w:rsidRDefault="002F0C19" w:rsidP="002F0C19">
      <w:pPr>
        <w:jc w:val="both"/>
      </w:pPr>
    </w:p>
    <w:p w:rsidR="002F0C19" w:rsidRPr="002F0C19" w:rsidRDefault="002F0C19" w:rsidP="002F0C19">
      <w:pPr>
        <w:jc w:val="both"/>
      </w:pPr>
    </w:p>
    <w:p w:rsidR="005D4DB6" w:rsidRPr="00DD4D40" w:rsidRDefault="005D4DB6" w:rsidP="00DD4D40">
      <w:pPr>
        <w:jc w:val="center"/>
        <w:rPr>
          <w:b/>
        </w:rPr>
      </w:pPr>
      <w:r w:rsidRPr="00DD4D40">
        <w:rPr>
          <w:b/>
        </w:rPr>
        <w:t>Kiíró:</w:t>
      </w:r>
    </w:p>
    <w:p w:rsidR="005D4DB6" w:rsidRPr="00DD4D40" w:rsidRDefault="005D4DB6" w:rsidP="00DD4D40">
      <w:pPr>
        <w:jc w:val="center"/>
        <w:rPr>
          <w:b/>
        </w:rPr>
      </w:pPr>
      <w:r w:rsidRPr="00DD4D40">
        <w:rPr>
          <w:b/>
        </w:rPr>
        <w:t>Salgótarján Megyei Jogú Város Önkormányzata nevében és megbízásából</w:t>
      </w:r>
    </w:p>
    <w:p w:rsidR="00EA19BD" w:rsidRPr="00DD4D40" w:rsidRDefault="005D4DB6" w:rsidP="00DD4D40">
      <w:pPr>
        <w:jc w:val="center"/>
        <w:rPr>
          <w:b/>
        </w:rPr>
      </w:pPr>
      <w:r w:rsidRPr="00DD4D40">
        <w:rPr>
          <w:b/>
        </w:rPr>
        <w:t xml:space="preserve">eljáró </w:t>
      </w:r>
      <w:r w:rsidR="00EA19BD" w:rsidRPr="00DD4D40">
        <w:rPr>
          <w:b/>
        </w:rPr>
        <w:t>Salgó Vagyon Kft.</w:t>
      </w:r>
    </w:p>
    <w:p w:rsidR="00B40896" w:rsidRPr="00B40896" w:rsidRDefault="00B40896" w:rsidP="00DD4D40"/>
    <w:p w:rsidR="00EA19BD" w:rsidRPr="00B40896" w:rsidRDefault="00EA19BD" w:rsidP="00DD4D40">
      <w:pPr>
        <w:jc w:val="center"/>
      </w:pPr>
      <w:r w:rsidRPr="00B40896">
        <w:t>(310</w:t>
      </w:r>
      <w:r w:rsidR="00046DE4">
        <w:t>0</w:t>
      </w:r>
      <w:r w:rsidRPr="00B40896">
        <w:t xml:space="preserve"> Salgótarján, </w:t>
      </w:r>
      <w:r w:rsidR="0099010E">
        <w:t>Munkásotthon tér 1</w:t>
      </w:r>
      <w:r w:rsidRPr="00B40896">
        <w:t>., tel: (32) 700-108)</w:t>
      </w:r>
    </w:p>
    <w:p w:rsidR="00067304" w:rsidRPr="00B40896" w:rsidRDefault="00067304" w:rsidP="00F15035">
      <w:pPr>
        <w:rPr>
          <w:bCs/>
        </w:rPr>
      </w:pPr>
    </w:p>
    <w:p w:rsidR="006B641D" w:rsidRDefault="00A0509F" w:rsidP="0099010E">
      <w:pPr>
        <w:jc w:val="center"/>
        <w:rPr>
          <w:b/>
          <w:bCs/>
        </w:rPr>
      </w:pPr>
      <w:r w:rsidRPr="00B40896">
        <w:rPr>
          <w:b/>
          <w:bCs/>
        </w:rPr>
        <w:t>Salgótarján</w:t>
      </w:r>
      <w:r w:rsidRPr="004E3709">
        <w:rPr>
          <w:b/>
          <w:bCs/>
        </w:rPr>
        <w:t xml:space="preserve">, </w:t>
      </w:r>
      <w:r w:rsidR="00405D72">
        <w:rPr>
          <w:b/>
          <w:bCs/>
        </w:rPr>
        <w:t>202</w:t>
      </w:r>
      <w:r w:rsidR="00067304">
        <w:rPr>
          <w:b/>
          <w:bCs/>
        </w:rPr>
        <w:t>4</w:t>
      </w:r>
      <w:r w:rsidR="00405D72">
        <w:rPr>
          <w:b/>
          <w:bCs/>
        </w:rPr>
        <w:t xml:space="preserve">. </w:t>
      </w:r>
      <w:r w:rsidR="00067304">
        <w:rPr>
          <w:b/>
          <w:bCs/>
        </w:rPr>
        <w:t>január 26.</w:t>
      </w:r>
    </w:p>
    <w:p w:rsidR="00067304" w:rsidRPr="002F0C19" w:rsidRDefault="00067304" w:rsidP="002F0C19">
      <w:pPr>
        <w:jc w:val="both"/>
        <w:rPr>
          <w:bCs/>
        </w:rPr>
      </w:pPr>
    </w:p>
    <w:p w:rsidR="002F0C19" w:rsidRPr="002F0C19" w:rsidRDefault="002F0C19" w:rsidP="002F0C19">
      <w:pPr>
        <w:jc w:val="both"/>
        <w:rPr>
          <w:bCs/>
        </w:rPr>
      </w:pPr>
    </w:p>
    <w:p w:rsidR="002F0C19" w:rsidRPr="002F0C19" w:rsidRDefault="002F0C19" w:rsidP="002F0C19">
      <w:pPr>
        <w:jc w:val="both"/>
        <w:rPr>
          <w:bCs/>
        </w:rPr>
      </w:pPr>
    </w:p>
    <w:p w:rsidR="0022122D" w:rsidRDefault="0022122D" w:rsidP="0022122D">
      <w:pPr>
        <w:jc w:val="both"/>
      </w:pPr>
      <w:r>
        <w:t xml:space="preserve">Salgótarján Megyei Jogú Város Önkormányzatának Közgyűlése </w:t>
      </w:r>
      <w:r w:rsidR="0099010E">
        <w:t>2023</w:t>
      </w:r>
      <w:r>
        <w:t xml:space="preserve">. </w:t>
      </w:r>
      <w:r w:rsidR="0099010E">
        <w:t>június</w:t>
      </w:r>
      <w:r w:rsidR="00320658">
        <w:t xml:space="preserve"> </w:t>
      </w:r>
      <w:r w:rsidR="0099010E">
        <w:t>27</w:t>
      </w:r>
      <w:r>
        <w:t xml:space="preserve">. napján tartott rendes ülésén döntött a Salgótarján Megyei Jogú Város Önkormányzatának tulajdonát képező, a természetben Salgótarján, </w:t>
      </w:r>
      <w:r w:rsidR="0099010E">
        <w:t>Frankel Le</w:t>
      </w:r>
      <w:r w:rsidR="000067F7">
        <w:t>ó</w:t>
      </w:r>
      <w:r w:rsidR="0099010E">
        <w:t xml:space="preserve"> út 62</w:t>
      </w:r>
      <w:r w:rsidR="009532E0">
        <w:t xml:space="preserve">., </w:t>
      </w:r>
      <w:r w:rsidR="00067304">
        <w:t xml:space="preserve">valamint </w:t>
      </w:r>
      <w:r w:rsidR="009532E0">
        <w:t>Újakna</w:t>
      </w:r>
      <w:r w:rsidR="00AB7E99">
        <w:t>i</w:t>
      </w:r>
      <w:r w:rsidR="009532E0">
        <w:t xml:space="preserve"> út 33/B., 35/A.</w:t>
      </w:r>
      <w:r w:rsidR="00067304">
        <w:t xml:space="preserve"> és </w:t>
      </w:r>
      <w:r w:rsidR="009532E0">
        <w:t>35</w:t>
      </w:r>
      <w:r w:rsidR="00D409C7">
        <w:t>/B.</w:t>
      </w:r>
      <w:r w:rsidR="00067304">
        <w:t xml:space="preserve"> szám alatt</w:t>
      </w:r>
      <w:r w:rsidR="009532E0">
        <w:t xml:space="preserve"> található földingatlanok </w:t>
      </w:r>
      <w:r>
        <w:t>értékesítésre történő kijelöléséről</w:t>
      </w:r>
      <w:r w:rsidRPr="0022122D">
        <w:t xml:space="preserve"> </w:t>
      </w:r>
      <w:r>
        <w:t xml:space="preserve">nyílt pályáztatás útján. A </w:t>
      </w:r>
      <w:r w:rsidR="009532E0">
        <w:t>91</w:t>
      </w:r>
      <w:r>
        <w:t>/202</w:t>
      </w:r>
      <w:r w:rsidR="009532E0">
        <w:t>3</w:t>
      </w:r>
      <w:r>
        <w:t>.(</w:t>
      </w:r>
      <w:r w:rsidR="009532E0">
        <w:t>V</w:t>
      </w:r>
      <w:r w:rsidR="00320658">
        <w:t>I.2</w:t>
      </w:r>
      <w:r w:rsidR="009532E0">
        <w:t>7</w:t>
      </w:r>
      <w:r>
        <w:t>.) számú közgyűlési határozat alapján a pályázat kiírója felhatalmazást kapott a pályázati felhívás elkészítésére, annak közzétételére és az értékesítési eljárás lefolytatására, továbbá a nyertes pályázóval történő adásvételi szerződés megkötésére</w:t>
      </w:r>
      <w:r w:rsidR="00D409C7">
        <w:t>.</w:t>
      </w:r>
    </w:p>
    <w:p w:rsidR="0022122D" w:rsidRPr="008B3DC2" w:rsidRDefault="0022122D" w:rsidP="0022122D">
      <w:pPr>
        <w:jc w:val="both"/>
      </w:pPr>
    </w:p>
    <w:p w:rsidR="005D4DB6" w:rsidRDefault="005D4DB6" w:rsidP="00236E8A">
      <w:pPr>
        <w:pStyle w:val="Cm"/>
        <w:numPr>
          <w:ilvl w:val="0"/>
          <w:numId w:val="4"/>
        </w:numPr>
        <w:ind w:left="1077"/>
        <w:rPr>
          <w:szCs w:val="28"/>
        </w:rPr>
      </w:pPr>
      <w:r w:rsidRPr="005D4DB6">
        <w:rPr>
          <w:szCs w:val="28"/>
        </w:rPr>
        <w:t>Az Ingatlan</w:t>
      </w:r>
      <w:r w:rsidR="009532E0">
        <w:rPr>
          <w:szCs w:val="28"/>
        </w:rPr>
        <w:t>ok</w:t>
      </w:r>
      <w:r w:rsidRPr="005D4DB6">
        <w:rPr>
          <w:szCs w:val="28"/>
        </w:rPr>
        <w:t xml:space="preserve"> jellemzői</w:t>
      </w:r>
      <w:r w:rsidR="009532E0">
        <w:rPr>
          <w:szCs w:val="28"/>
        </w:rPr>
        <w:t xml:space="preserve"> és adatai</w:t>
      </w:r>
    </w:p>
    <w:p w:rsidR="000E1F92" w:rsidRPr="002F0C19" w:rsidRDefault="000E1F92" w:rsidP="002F0C19">
      <w:pPr>
        <w:jc w:val="both"/>
      </w:pPr>
    </w:p>
    <w:p w:rsidR="005D4DB6" w:rsidRPr="000E1F92" w:rsidRDefault="00EB4290" w:rsidP="002F0C19">
      <w:pPr>
        <w:pStyle w:val="Listaszerbekezds"/>
        <w:numPr>
          <w:ilvl w:val="0"/>
          <w:numId w:val="21"/>
        </w:numPr>
        <w:spacing w:after="120"/>
        <w:ind w:left="426" w:hanging="426"/>
        <w:contextualSpacing w:val="0"/>
        <w:jc w:val="both"/>
        <w:rPr>
          <w:b/>
          <w:u w:val="single"/>
        </w:rPr>
      </w:pPr>
      <w:r w:rsidRPr="000E1F92">
        <w:rPr>
          <w:b/>
          <w:u w:val="single"/>
        </w:rPr>
        <w:t>119 helyrajzi számú ingatlan:</w:t>
      </w:r>
    </w:p>
    <w:p w:rsidR="00EB4290" w:rsidRPr="004928AF" w:rsidRDefault="004928AF" w:rsidP="002F0C19">
      <w:pPr>
        <w:pStyle w:val="Listaszerbekezds"/>
        <w:spacing w:after="120"/>
        <w:ind w:left="426"/>
        <w:contextualSpacing w:val="0"/>
        <w:jc w:val="both"/>
      </w:pPr>
      <w:r w:rsidRPr="004928AF">
        <w:t>1</w:t>
      </w:r>
      <w:r w:rsidR="002F0C19">
        <w:t xml:space="preserve">. </w:t>
      </w:r>
      <w:r w:rsidRPr="004928AF">
        <w:t>számú melléklet tartalmazza a közmű térképet, szabályozási tervlap kivonatot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
        <w:gridCol w:w="1985"/>
        <w:gridCol w:w="1559"/>
        <w:gridCol w:w="3260"/>
      </w:tblGrid>
      <w:tr w:rsidR="00EB4290" w:rsidRPr="006735B9" w:rsidTr="001322A5">
        <w:trPr>
          <w:trHeight w:val="603"/>
          <w:jc w:val="center"/>
        </w:trPr>
        <w:tc>
          <w:tcPr>
            <w:tcW w:w="1843" w:type="dxa"/>
            <w:shd w:val="clear" w:color="auto" w:fill="auto"/>
            <w:vAlign w:val="center"/>
          </w:tcPr>
          <w:p w:rsidR="00EB4290" w:rsidRPr="006735B9" w:rsidRDefault="00EB4290" w:rsidP="008A75CE">
            <w:pPr>
              <w:tabs>
                <w:tab w:val="left" w:pos="5954"/>
              </w:tabs>
              <w:spacing w:after="120" w:line="252" w:lineRule="auto"/>
              <w:jc w:val="center"/>
              <w:rPr>
                <w:b/>
                <w:sz w:val="22"/>
                <w:szCs w:val="22"/>
              </w:rPr>
            </w:pPr>
            <w:r w:rsidRPr="006735B9">
              <w:rPr>
                <w:b/>
                <w:sz w:val="22"/>
                <w:szCs w:val="22"/>
              </w:rPr>
              <w:t>cím</w:t>
            </w:r>
          </w:p>
        </w:tc>
        <w:tc>
          <w:tcPr>
            <w:tcW w:w="850" w:type="dxa"/>
            <w:shd w:val="clear" w:color="auto" w:fill="auto"/>
            <w:vAlign w:val="center"/>
          </w:tcPr>
          <w:p w:rsidR="00EB4290" w:rsidRPr="006735B9" w:rsidRDefault="00EB4290" w:rsidP="008A75CE">
            <w:pPr>
              <w:tabs>
                <w:tab w:val="left" w:pos="5954"/>
              </w:tabs>
              <w:spacing w:after="120" w:line="252" w:lineRule="auto"/>
              <w:ind w:left="-90" w:firstLine="90"/>
              <w:jc w:val="center"/>
              <w:rPr>
                <w:b/>
                <w:sz w:val="22"/>
                <w:szCs w:val="22"/>
              </w:rPr>
            </w:pPr>
            <w:r w:rsidRPr="006735B9">
              <w:rPr>
                <w:b/>
                <w:sz w:val="22"/>
                <w:szCs w:val="22"/>
              </w:rPr>
              <w:t>terület</w:t>
            </w:r>
          </w:p>
        </w:tc>
        <w:tc>
          <w:tcPr>
            <w:tcW w:w="1985" w:type="dxa"/>
            <w:shd w:val="clear" w:color="auto" w:fill="auto"/>
            <w:vAlign w:val="center"/>
          </w:tcPr>
          <w:p w:rsidR="00EB4290" w:rsidRPr="006735B9" w:rsidRDefault="00EB4290" w:rsidP="008A75CE">
            <w:pPr>
              <w:tabs>
                <w:tab w:val="left" w:pos="5954"/>
              </w:tabs>
              <w:spacing w:line="252" w:lineRule="auto"/>
              <w:jc w:val="center"/>
              <w:rPr>
                <w:b/>
                <w:sz w:val="22"/>
                <w:szCs w:val="22"/>
              </w:rPr>
            </w:pPr>
            <w:r w:rsidRPr="006735B9">
              <w:rPr>
                <w:b/>
                <w:sz w:val="22"/>
                <w:szCs w:val="22"/>
              </w:rPr>
              <w:t>induló vételár</w:t>
            </w:r>
          </w:p>
        </w:tc>
        <w:tc>
          <w:tcPr>
            <w:tcW w:w="1559" w:type="dxa"/>
            <w:shd w:val="clear" w:color="auto" w:fill="auto"/>
            <w:vAlign w:val="center"/>
          </w:tcPr>
          <w:p w:rsidR="00EB4290" w:rsidRPr="006735B9" w:rsidRDefault="00EB4290" w:rsidP="008A75CE">
            <w:pPr>
              <w:tabs>
                <w:tab w:val="left" w:pos="5954"/>
              </w:tabs>
              <w:spacing w:after="120" w:line="252" w:lineRule="auto"/>
              <w:jc w:val="center"/>
              <w:rPr>
                <w:b/>
                <w:sz w:val="22"/>
                <w:szCs w:val="22"/>
              </w:rPr>
            </w:pPr>
            <w:r w:rsidRPr="006735B9">
              <w:rPr>
                <w:b/>
                <w:sz w:val="22"/>
                <w:szCs w:val="22"/>
              </w:rPr>
              <w:t>övezeti besorolás</w:t>
            </w:r>
          </w:p>
        </w:tc>
        <w:tc>
          <w:tcPr>
            <w:tcW w:w="3260" w:type="dxa"/>
            <w:shd w:val="clear" w:color="auto" w:fill="auto"/>
            <w:vAlign w:val="center"/>
          </w:tcPr>
          <w:p w:rsidR="00EB4290" w:rsidRPr="006735B9" w:rsidRDefault="00EB4290" w:rsidP="008A75CE">
            <w:pPr>
              <w:tabs>
                <w:tab w:val="left" w:pos="5954"/>
              </w:tabs>
              <w:spacing w:after="120" w:line="252" w:lineRule="auto"/>
              <w:jc w:val="center"/>
              <w:rPr>
                <w:b/>
                <w:sz w:val="22"/>
                <w:szCs w:val="22"/>
              </w:rPr>
            </w:pPr>
            <w:r w:rsidRPr="006735B9">
              <w:rPr>
                <w:b/>
                <w:sz w:val="22"/>
                <w:szCs w:val="22"/>
              </w:rPr>
              <w:t>megjegyzés</w:t>
            </w:r>
          </w:p>
        </w:tc>
      </w:tr>
      <w:tr w:rsidR="00EB4290" w:rsidRPr="006735B9" w:rsidTr="001322A5">
        <w:trPr>
          <w:trHeight w:val="659"/>
          <w:jc w:val="center"/>
        </w:trPr>
        <w:tc>
          <w:tcPr>
            <w:tcW w:w="1843" w:type="dxa"/>
            <w:shd w:val="clear" w:color="auto" w:fill="auto"/>
            <w:vAlign w:val="center"/>
          </w:tcPr>
          <w:p w:rsidR="00EB4290" w:rsidRPr="006735B9" w:rsidRDefault="00EB4290" w:rsidP="008A75CE">
            <w:pPr>
              <w:tabs>
                <w:tab w:val="left" w:pos="5954"/>
              </w:tabs>
              <w:spacing w:line="252" w:lineRule="auto"/>
              <w:jc w:val="center"/>
              <w:rPr>
                <w:sz w:val="22"/>
                <w:szCs w:val="22"/>
              </w:rPr>
            </w:pPr>
            <w:r w:rsidRPr="006735B9">
              <w:rPr>
                <w:sz w:val="22"/>
                <w:szCs w:val="22"/>
              </w:rPr>
              <w:t>Frankel Le</w:t>
            </w:r>
            <w:r w:rsidR="000067F7">
              <w:rPr>
                <w:sz w:val="22"/>
                <w:szCs w:val="22"/>
              </w:rPr>
              <w:t>ó</w:t>
            </w:r>
            <w:r w:rsidRPr="006735B9">
              <w:rPr>
                <w:sz w:val="22"/>
                <w:szCs w:val="22"/>
              </w:rPr>
              <w:t xml:space="preserve"> út 62.</w:t>
            </w:r>
          </w:p>
          <w:p w:rsidR="00EB4290" w:rsidRPr="006735B9" w:rsidRDefault="00EB4290" w:rsidP="008A75CE">
            <w:pPr>
              <w:tabs>
                <w:tab w:val="left" w:pos="5954"/>
              </w:tabs>
              <w:spacing w:line="252" w:lineRule="auto"/>
              <w:jc w:val="center"/>
              <w:rPr>
                <w:sz w:val="22"/>
                <w:szCs w:val="22"/>
              </w:rPr>
            </w:pPr>
            <w:r w:rsidRPr="006735B9">
              <w:rPr>
                <w:sz w:val="22"/>
                <w:szCs w:val="22"/>
              </w:rPr>
              <w:t>(Baglyasalja)</w:t>
            </w:r>
          </w:p>
        </w:tc>
        <w:tc>
          <w:tcPr>
            <w:tcW w:w="850" w:type="dxa"/>
            <w:shd w:val="clear" w:color="auto" w:fill="auto"/>
            <w:vAlign w:val="center"/>
          </w:tcPr>
          <w:p w:rsidR="00EB4290" w:rsidRPr="006735B9" w:rsidRDefault="00EB4290" w:rsidP="008A75CE">
            <w:pPr>
              <w:tabs>
                <w:tab w:val="left" w:pos="5954"/>
              </w:tabs>
              <w:spacing w:line="252" w:lineRule="auto"/>
              <w:jc w:val="center"/>
              <w:rPr>
                <w:sz w:val="22"/>
                <w:szCs w:val="22"/>
              </w:rPr>
            </w:pPr>
            <w:r w:rsidRPr="006735B9">
              <w:rPr>
                <w:sz w:val="22"/>
                <w:szCs w:val="22"/>
              </w:rPr>
              <w:t>621 m</w:t>
            </w:r>
            <w:r w:rsidRPr="006735B9">
              <w:rPr>
                <w:sz w:val="22"/>
                <w:szCs w:val="22"/>
                <w:vertAlign w:val="superscript"/>
              </w:rPr>
              <w:t>2</w:t>
            </w:r>
          </w:p>
        </w:tc>
        <w:tc>
          <w:tcPr>
            <w:tcW w:w="1985" w:type="dxa"/>
            <w:shd w:val="clear" w:color="auto" w:fill="auto"/>
            <w:vAlign w:val="center"/>
          </w:tcPr>
          <w:p w:rsidR="00EB4290" w:rsidRPr="006735B9" w:rsidRDefault="00EB4290" w:rsidP="008A75CE">
            <w:pPr>
              <w:tabs>
                <w:tab w:val="left" w:pos="5954"/>
              </w:tabs>
              <w:spacing w:line="252" w:lineRule="auto"/>
              <w:jc w:val="center"/>
              <w:rPr>
                <w:sz w:val="22"/>
                <w:szCs w:val="22"/>
              </w:rPr>
            </w:pPr>
            <w:r w:rsidRPr="006735B9">
              <w:rPr>
                <w:sz w:val="22"/>
                <w:szCs w:val="22"/>
              </w:rPr>
              <w:t>1.200.000</w:t>
            </w:r>
            <w:r w:rsidR="00067304">
              <w:rPr>
                <w:sz w:val="22"/>
                <w:szCs w:val="22"/>
              </w:rPr>
              <w:t>.</w:t>
            </w:r>
            <w:r w:rsidRPr="006735B9">
              <w:rPr>
                <w:sz w:val="22"/>
                <w:szCs w:val="22"/>
              </w:rPr>
              <w:t>- Ft</w:t>
            </w:r>
            <w:r>
              <w:rPr>
                <w:sz w:val="22"/>
                <w:szCs w:val="22"/>
              </w:rPr>
              <w:t xml:space="preserve"> + áfa</w:t>
            </w:r>
          </w:p>
        </w:tc>
        <w:tc>
          <w:tcPr>
            <w:tcW w:w="1559" w:type="dxa"/>
            <w:shd w:val="clear" w:color="auto" w:fill="auto"/>
            <w:vAlign w:val="center"/>
          </w:tcPr>
          <w:p w:rsidR="00EB4290" w:rsidRPr="006735B9" w:rsidRDefault="00EB4290" w:rsidP="008A75CE">
            <w:pPr>
              <w:tabs>
                <w:tab w:val="left" w:pos="5954"/>
              </w:tabs>
              <w:spacing w:line="252" w:lineRule="auto"/>
              <w:jc w:val="center"/>
              <w:rPr>
                <w:sz w:val="22"/>
                <w:szCs w:val="22"/>
              </w:rPr>
            </w:pPr>
            <w:proofErr w:type="spellStart"/>
            <w:r w:rsidRPr="006735B9">
              <w:rPr>
                <w:sz w:val="22"/>
                <w:szCs w:val="22"/>
              </w:rPr>
              <w:t>Lf</w:t>
            </w:r>
            <w:proofErr w:type="spellEnd"/>
            <w:r>
              <w:rPr>
                <w:sz w:val="22"/>
                <w:szCs w:val="22"/>
              </w:rPr>
              <w:t xml:space="preserve"> – falusias lakóterület</w:t>
            </w:r>
          </w:p>
        </w:tc>
        <w:tc>
          <w:tcPr>
            <w:tcW w:w="3260" w:type="dxa"/>
            <w:shd w:val="clear" w:color="auto" w:fill="auto"/>
            <w:vAlign w:val="center"/>
          </w:tcPr>
          <w:p w:rsidR="00EB4290" w:rsidRDefault="00EB4290" w:rsidP="008A75CE">
            <w:pPr>
              <w:tabs>
                <w:tab w:val="left" w:pos="5954"/>
              </w:tabs>
              <w:spacing w:line="252" w:lineRule="auto"/>
              <w:jc w:val="center"/>
              <w:rPr>
                <w:sz w:val="22"/>
                <w:szCs w:val="22"/>
              </w:rPr>
            </w:pPr>
            <w:r w:rsidRPr="006735B9">
              <w:rPr>
                <w:sz w:val="22"/>
                <w:szCs w:val="22"/>
              </w:rPr>
              <w:t>építési telek</w:t>
            </w:r>
            <w:r>
              <w:rPr>
                <w:sz w:val="22"/>
                <w:szCs w:val="22"/>
              </w:rPr>
              <w:t>, mely</w:t>
            </w:r>
          </w:p>
          <w:p w:rsidR="00EB4290" w:rsidRPr="006735B9" w:rsidRDefault="00EB4290" w:rsidP="008A75CE">
            <w:pPr>
              <w:tabs>
                <w:tab w:val="left" w:pos="5954"/>
              </w:tabs>
              <w:spacing w:line="252" w:lineRule="auto"/>
              <w:jc w:val="center"/>
              <w:rPr>
                <w:sz w:val="22"/>
                <w:szCs w:val="22"/>
              </w:rPr>
            </w:pPr>
            <w:r>
              <w:rPr>
                <w:sz w:val="22"/>
                <w:szCs w:val="22"/>
              </w:rPr>
              <w:t>telken belüli közműbekötéssel nem rendelkezik</w:t>
            </w:r>
          </w:p>
        </w:tc>
      </w:tr>
    </w:tbl>
    <w:p w:rsidR="006E4335" w:rsidRDefault="008A75CE" w:rsidP="001322A5">
      <w:pPr>
        <w:spacing w:before="120"/>
        <w:jc w:val="both"/>
      </w:pPr>
      <w:r>
        <w:t xml:space="preserve">A </w:t>
      </w:r>
      <w:r w:rsidR="00601F50">
        <w:t xml:space="preserve">négyszög alakú </w:t>
      </w:r>
      <w:r>
        <w:t>építési telek a Salgótarján, Frankel Leó út legfelső részén helyezkedik el. A domborzat</w:t>
      </w:r>
      <w:r w:rsidR="000E1F92">
        <w:t>i viszonyok következtében</w:t>
      </w:r>
      <w:r>
        <w:t xml:space="preserve"> </w:t>
      </w:r>
      <w:r w:rsidR="000E1F92">
        <w:t xml:space="preserve">az ingatlan </w:t>
      </w:r>
      <w:r>
        <w:t xml:space="preserve">az utca irányában enyhén lejtős. A közhiteles ingatlan-nyilvántartásban „beépítetlen terület” megnevezésű gondozatlan </w:t>
      </w:r>
      <w:r w:rsidR="00EB4290">
        <w:t>telek</w:t>
      </w:r>
      <w:r>
        <w:t xml:space="preserve"> dús növényzettel (cserjék, bokrok) benőtt, mely keskeny aszfaltozott burkolattal rendelkező úton közelíthető meg. </w:t>
      </w:r>
      <w:r w:rsidR="00EB4290">
        <w:t>Az utcában a víz</w:t>
      </w:r>
      <w:r w:rsidR="000E1F92">
        <w:t>, szennyvízcsatorna</w:t>
      </w:r>
      <w:r w:rsidR="00EB4290">
        <w:t xml:space="preserve"> és villanyközmű került kiépítésre</w:t>
      </w:r>
      <w:r w:rsidR="000E1F92">
        <w:t>.</w:t>
      </w:r>
    </w:p>
    <w:p w:rsidR="00CB1FEE" w:rsidRDefault="00DE3C1E" w:rsidP="001F71AF">
      <w:pPr>
        <w:jc w:val="both"/>
      </w:pPr>
      <w:r>
        <w:t>Pályázat kiírója tájékoztatja az ajánlattevőket, hogy jelenleg az ingatlanra kertművelési célú földhasználati szerződés van érvényben, mely határozott időre, 2027. június 30. napjáig került megkötésre. Az ingatlan értékesítésére érvényes bérleti jogviszonnyal kerül sor, melynek során a nyertes ajánlattevő</w:t>
      </w:r>
      <w:r w:rsidR="0037196E">
        <w:t>,</w:t>
      </w:r>
      <w:r>
        <w:t xml:space="preserve"> mint vevő</w:t>
      </w:r>
      <w:r w:rsidR="0037196E">
        <w:t xml:space="preserve"> a bérleti szerződésbe bérbeadói oldalon jogutódként belép. A bérleti jogviszonyra vonatkozó megállapodás a felek közös írásbeli megállapodásával, vagy a határozott időt</w:t>
      </w:r>
      <w:r w:rsidR="000B7B99">
        <w:t>a</w:t>
      </w:r>
      <w:r w:rsidR="0037196E">
        <w:t>rt</w:t>
      </w:r>
      <w:r w:rsidR="000B7B99">
        <w:t>a</w:t>
      </w:r>
      <w:r w:rsidR="0037196E">
        <w:t>m elteltével szűnik meg</w:t>
      </w:r>
      <w:r w:rsidR="000B7B99">
        <w:t>. Bérbeadói oldalról a bérleti szerződés felmondása a szerződésben rögzített kötelezettségek mulasztása esetén lehetséges. Az éves bérleti díj 4.403</w:t>
      </w:r>
      <w:r w:rsidR="001322A5">
        <w:t>.</w:t>
      </w:r>
      <w:r w:rsidR="000B7B99">
        <w:t>- Ft + áfa összegben került meghatározásra.</w:t>
      </w:r>
      <w:r w:rsidR="00BE1A8D">
        <w:t xml:space="preserve"> A bérleti szerződés a pályázat benyújtására nyitva álló idő alatt a Salgó Vagyon Kft. titkárságán megtekinthető.</w:t>
      </w:r>
    </w:p>
    <w:p w:rsidR="00A40018" w:rsidRDefault="00A40018" w:rsidP="001F71AF">
      <w:pPr>
        <w:jc w:val="both"/>
      </w:pPr>
    </w:p>
    <w:p w:rsidR="00CB1FEE" w:rsidRPr="000E1F92" w:rsidRDefault="00CB1FEE" w:rsidP="002F0C19">
      <w:pPr>
        <w:pStyle w:val="Listaszerbekezds"/>
        <w:numPr>
          <w:ilvl w:val="0"/>
          <w:numId w:val="21"/>
        </w:numPr>
        <w:spacing w:after="120"/>
        <w:ind w:left="426" w:hanging="426"/>
        <w:contextualSpacing w:val="0"/>
        <w:jc w:val="both"/>
        <w:rPr>
          <w:b/>
          <w:u w:val="single"/>
        </w:rPr>
      </w:pPr>
      <w:r>
        <w:rPr>
          <w:b/>
          <w:u w:val="single"/>
        </w:rPr>
        <w:t>5162/9</w:t>
      </w:r>
      <w:r w:rsidRPr="000E1F92">
        <w:rPr>
          <w:b/>
          <w:u w:val="single"/>
        </w:rPr>
        <w:t xml:space="preserve"> helyrajzi számú ingatlan:</w:t>
      </w:r>
    </w:p>
    <w:p w:rsidR="000E1F92" w:rsidRDefault="00E05217" w:rsidP="002F0C19">
      <w:pPr>
        <w:pStyle w:val="Listaszerbekezds"/>
        <w:spacing w:after="120"/>
        <w:ind w:left="426"/>
        <w:contextualSpacing w:val="0"/>
        <w:jc w:val="both"/>
      </w:pPr>
      <w:r>
        <w:t>2</w:t>
      </w:r>
      <w:r w:rsidR="00397A0D" w:rsidRPr="004928AF">
        <w:t>.</w:t>
      </w:r>
      <w:r w:rsidR="001322A5">
        <w:t xml:space="preserve"> </w:t>
      </w:r>
      <w:r w:rsidR="00397A0D" w:rsidRPr="004928AF">
        <w:t>számú melléklet tartalmazza a közmű térképet, szabályozási tervlap kivonatot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559"/>
        <w:gridCol w:w="1560"/>
        <w:gridCol w:w="3118"/>
      </w:tblGrid>
      <w:tr w:rsidR="00294D36" w:rsidRPr="006735B9" w:rsidTr="001322A5">
        <w:trPr>
          <w:trHeight w:val="622"/>
          <w:jc w:val="center"/>
        </w:trPr>
        <w:tc>
          <w:tcPr>
            <w:tcW w:w="1701" w:type="dxa"/>
            <w:shd w:val="clear" w:color="auto" w:fill="auto"/>
            <w:vAlign w:val="center"/>
          </w:tcPr>
          <w:p w:rsidR="00294D36" w:rsidRPr="006735B9" w:rsidRDefault="00294D36" w:rsidP="00294D36">
            <w:pPr>
              <w:tabs>
                <w:tab w:val="left" w:pos="5954"/>
              </w:tabs>
              <w:spacing w:after="120" w:line="252" w:lineRule="auto"/>
              <w:jc w:val="center"/>
              <w:rPr>
                <w:b/>
                <w:sz w:val="22"/>
                <w:szCs w:val="22"/>
              </w:rPr>
            </w:pPr>
            <w:r w:rsidRPr="006735B9">
              <w:rPr>
                <w:b/>
                <w:sz w:val="22"/>
                <w:szCs w:val="22"/>
              </w:rPr>
              <w:t>cím</w:t>
            </w:r>
          </w:p>
        </w:tc>
        <w:tc>
          <w:tcPr>
            <w:tcW w:w="1134" w:type="dxa"/>
            <w:shd w:val="clear" w:color="auto" w:fill="auto"/>
            <w:vAlign w:val="center"/>
          </w:tcPr>
          <w:p w:rsidR="00294D36" w:rsidRPr="006735B9" w:rsidRDefault="00294D36" w:rsidP="00294D36">
            <w:pPr>
              <w:tabs>
                <w:tab w:val="left" w:pos="5954"/>
              </w:tabs>
              <w:spacing w:after="120" w:line="252" w:lineRule="auto"/>
              <w:ind w:left="-90" w:firstLine="90"/>
              <w:jc w:val="center"/>
              <w:rPr>
                <w:b/>
                <w:sz w:val="22"/>
                <w:szCs w:val="22"/>
              </w:rPr>
            </w:pPr>
            <w:r w:rsidRPr="006735B9">
              <w:rPr>
                <w:b/>
                <w:sz w:val="22"/>
                <w:szCs w:val="22"/>
              </w:rPr>
              <w:t>terület</w:t>
            </w:r>
          </w:p>
        </w:tc>
        <w:tc>
          <w:tcPr>
            <w:tcW w:w="1559" w:type="dxa"/>
            <w:shd w:val="clear" w:color="auto" w:fill="auto"/>
            <w:vAlign w:val="center"/>
          </w:tcPr>
          <w:p w:rsidR="00294D36" w:rsidRPr="006735B9" w:rsidRDefault="00294D36" w:rsidP="00294D36">
            <w:pPr>
              <w:tabs>
                <w:tab w:val="left" w:pos="5954"/>
              </w:tabs>
              <w:spacing w:line="252" w:lineRule="auto"/>
              <w:jc w:val="center"/>
              <w:rPr>
                <w:b/>
                <w:sz w:val="22"/>
                <w:szCs w:val="22"/>
              </w:rPr>
            </w:pPr>
            <w:r w:rsidRPr="006735B9">
              <w:rPr>
                <w:b/>
                <w:sz w:val="22"/>
                <w:szCs w:val="22"/>
              </w:rPr>
              <w:t>induló vételár</w:t>
            </w:r>
          </w:p>
        </w:tc>
        <w:tc>
          <w:tcPr>
            <w:tcW w:w="1560" w:type="dxa"/>
            <w:shd w:val="clear" w:color="auto" w:fill="auto"/>
            <w:vAlign w:val="center"/>
          </w:tcPr>
          <w:p w:rsidR="00294D36" w:rsidRPr="006735B9" w:rsidRDefault="00294D36" w:rsidP="00294D36">
            <w:pPr>
              <w:tabs>
                <w:tab w:val="left" w:pos="5954"/>
              </w:tabs>
              <w:spacing w:after="120" w:line="252" w:lineRule="auto"/>
              <w:jc w:val="center"/>
              <w:rPr>
                <w:b/>
                <w:sz w:val="22"/>
                <w:szCs w:val="22"/>
              </w:rPr>
            </w:pPr>
            <w:r w:rsidRPr="006735B9">
              <w:rPr>
                <w:b/>
                <w:sz w:val="22"/>
                <w:szCs w:val="22"/>
              </w:rPr>
              <w:t>övezeti besorolás</w:t>
            </w:r>
          </w:p>
        </w:tc>
        <w:tc>
          <w:tcPr>
            <w:tcW w:w="3118" w:type="dxa"/>
            <w:shd w:val="clear" w:color="auto" w:fill="auto"/>
            <w:vAlign w:val="center"/>
          </w:tcPr>
          <w:p w:rsidR="00294D36" w:rsidRPr="006735B9" w:rsidRDefault="00294D36" w:rsidP="00294D36">
            <w:pPr>
              <w:tabs>
                <w:tab w:val="left" w:pos="5954"/>
              </w:tabs>
              <w:spacing w:after="120" w:line="252" w:lineRule="auto"/>
              <w:jc w:val="center"/>
              <w:rPr>
                <w:b/>
                <w:sz w:val="22"/>
                <w:szCs w:val="22"/>
              </w:rPr>
            </w:pPr>
            <w:r w:rsidRPr="006735B9">
              <w:rPr>
                <w:b/>
                <w:sz w:val="22"/>
                <w:szCs w:val="22"/>
              </w:rPr>
              <w:t>megjegyzés</w:t>
            </w:r>
          </w:p>
        </w:tc>
      </w:tr>
      <w:tr w:rsidR="00294D36" w:rsidRPr="006735B9" w:rsidTr="001322A5">
        <w:trPr>
          <w:trHeight w:val="622"/>
          <w:jc w:val="center"/>
        </w:trPr>
        <w:tc>
          <w:tcPr>
            <w:tcW w:w="1701" w:type="dxa"/>
            <w:shd w:val="clear" w:color="auto" w:fill="auto"/>
            <w:vAlign w:val="center"/>
          </w:tcPr>
          <w:p w:rsidR="00294D36" w:rsidRPr="006735B9" w:rsidRDefault="00294D36" w:rsidP="00294D36">
            <w:pPr>
              <w:tabs>
                <w:tab w:val="left" w:pos="5954"/>
              </w:tabs>
              <w:spacing w:line="252" w:lineRule="auto"/>
              <w:jc w:val="center"/>
              <w:rPr>
                <w:sz w:val="22"/>
                <w:szCs w:val="22"/>
              </w:rPr>
            </w:pPr>
            <w:r w:rsidRPr="006735B9">
              <w:rPr>
                <w:sz w:val="22"/>
                <w:szCs w:val="22"/>
              </w:rPr>
              <w:t>Újaknai út 35/A.</w:t>
            </w:r>
          </w:p>
        </w:tc>
        <w:tc>
          <w:tcPr>
            <w:tcW w:w="1134" w:type="dxa"/>
            <w:shd w:val="clear" w:color="auto" w:fill="auto"/>
            <w:vAlign w:val="center"/>
          </w:tcPr>
          <w:p w:rsidR="00294D36" w:rsidRPr="006735B9" w:rsidRDefault="00294D36" w:rsidP="00294D36">
            <w:pPr>
              <w:tabs>
                <w:tab w:val="left" w:pos="5954"/>
              </w:tabs>
              <w:spacing w:line="252" w:lineRule="auto"/>
              <w:jc w:val="center"/>
              <w:rPr>
                <w:sz w:val="22"/>
                <w:szCs w:val="22"/>
              </w:rPr>
            </w:pPr>
            <w:r w:rsidRPr="006735B9">
              <w:rPr>
                <w:sz w:val="22"/>
                <w:szCs w:val="22"/>
              </w:rPr>
              <w:t>317 m</w:t>
            </w:r>
            <w:r w:rsidRPr="006735B9">
              <w:rPr>
                <w:sz w:val="22"/>
                <w:szCs w:val="22"/>
                <w:vertAlign w:val="superscript"/>
              </w:rPr>
              <w:t>2</w:t>
            </w:r>
          </w:p>
        </w:tc>
        <w:tc>
          <w:tcPr>
            <w:tcW w:w="1559" w:type="dxa"/>
            <w:shd w:val="clear" w:color="auto" w:fill="auto"/>
            <w:vAlign w:val="center"/>
          </w:tcPr>
          <w:p w:rsidR="00294D36" w:rsidRDefault="00294D36" w:rsidP="00294D36">
            <w:pPr>
              <w:tabs>
                <w:tab w:val="left" w:pos="5954"/>
              </w:tabs>
              <w:spacing w:line="252" w:lineRule="auto"/>
              <w:jc w:val="center"/>
              <w:rPr>
                <w:sz w:val="22"/>
                <w:szCs w:val="22"/>
              </w:rPr>
            </w:pPr>
            <w:r w:rsidRPr="006735B9">
              <w:rPr>
                <w:sz w:val="22"/>
                <w:szCs w:val="22"/>
              </w:rPr>
              <w:t>600.000</w:t>
            </w:r>
            <w:r w:rsidR="001322A5">
              <w:rPr>
                <w:sz w:val="22"/>
                <w:szCs w:val="22"/>
              </w:rPr>
              <w:t>.</w:t>
            </w:r>
            <w:r w:rsidRPr="006735B9">
              <w:rPr>
                <w:sz w:val="22"/>
                <w:szCs w:val="22"/>
              </w:rPr>
              <w:t>- Ft</w:t>
            </w:r>
          </w:p>
          <w:p w:rsidR="00A77021" w:rsidRPr="006735B9" w:rsidRDefault="00A77021" w:rsidP="00294D36">
            <w:pPr>
              <w:tabs>
                <w:tab w:val="left" w:pos="5954"/>
              </w:tabs>
              <w:spacing w:line="252" w:lineRule="auto"/>
              <w:jc w:val="center"/>
              <w:rPr>
                <w:sz w:val="22"/>
                <w:szCs w:val="22"/>
              </w:rPr>
            </w:pPr>
            <w:r>
              <w:rPr>
                <w:sz w:val="22"/>
                <w:szCs w:val="22"/>
              </w:rPr>
              <w:t>(áfamentes)</w:t>
            </w:r>
          </w:p>
        </w:tc>
        <w:tc>
          <w:tcPr>
            <w:tcW w:w="1560" w:type="dxa"/>
            <w:shd w:val="clear" w:color="auto" w:fill="auto"/>
            <w:vAlign w:val="center"/>
          </w:tcPr>
          <w:p w:rsidR="00294D36" w:rsidRDefault="00294D36" w:rsidP="00294D36">
            <w:pPr>
              <w:tabs>
                <w:tab w:val="left" w:pos="5954"/>
              </w:tabs>
              <w:spacing w:line="252" w:lineRule="auto"/>
              <w:jc w:val="center"/>
              <w:rPr>
                <w:sz w:val="22"/>
                <w:szCs w:val="22"/>
              </w:rPr>
            </w:pPr>
            <w:proofErr w:type="spellStart"/>
            <w:r w:rsidRPr="006735B9">
              <w:rPr>
                <w:sz w:val="22"/>
                <w:szCs w:val="22"/>
              </w:rPr>
              <w:t>Lke</w:t>
            </w:r>
            <w:proofErr w:type="spellEnd"/>
          </w:p>
          <w:p w:rsidR="00294D36" w:rsidRPr="006735B9" w:rsidRDefault="00294D36" w:rsidP="00294D36">
            <w:pPr>
              <w:tabs>
                <w:tab w:val="left" w:pos="5954"/>
              </w:tabs>
              <w:spacing w:line="252" w:lineRule="auto"/>
              <w:jc w:val="center"/>
              <w:rPr>
                <w:sz w:val="22"/>
                <w:szCs w:val="22"/>
              </w:rPr>
            </w:pPr>
            <w:r>
              <w:rPr>
                <w:sz w:val="22"/>
                <w:szCs w:val="22"/>
              </w:rPr>
              <w:t>kertvárosias lakóterület</w:t>
            </w:r>
          </w:p>
        </w:tc>
        <w:tc>
          <w:tcPr>
            <w:tcW w:w="3118" w:type="dxa"/>
            <w:shd w:val="clear" w:color="auto" w:fill="auto"/>
            <w:vAlign w:val="center"/>
          </w:tcPr>
          <w:p w:rsidR="00294D36" w:rsidRPr="006735B9" w:rsidRDefault="00294D36" w:rsidP="00294D36">
            <w:pPr>
              <w:tabs>
                <w:tab w:val="left" w:pos="5954"/>
              </w:tabs>
              <w:spacing w:line="252" w:lineRule="auto"/>
              <w:jc w:val="center"/>
              <w:rPr>
                <w:sz w:val="22"/>
                <w:szCs w:val="22"/>
              </w:rPr>
            </w:pPr>
            <w:r w:rsidRPr="006735B9">
              <w:rPr>
                <w:sz w:val="22"/>
                <w:szCs w:val="22"/>
              </w:rPr>
              <w:t>253/1997.(XII.20.) Kor</w:t>
            </w:r>
            <w:r w:rsidR="001322A5">
              <w:rPr>
                <w:sz w:val="22"/>
                <w:szCs w:val="22"/>
              </w:rPr>
              <w:t>m</w:t>
            </w:r>
            <w:r w:rsidRPr="006735B9">
              <w:rPr>
                <w:sz w:val="22"/>
                <w:szCs w:val="22"/>
              </w:rPr>
              <w:t>. rend. 30</w:t>
            </w:r>
            <w:r w:rsidR="001322A5">
              <w:rPr>
                <w:sz w:val="22"/>
                <w:szCs w:val="22"/>
              </w:rPr>
              <w:t>.</w:t>
            </w:r>
            <w:r w:rsidRPr="006735B9">
              <w:rPr>
                <w:sz w:val="22"/>
                <w:szCs w:val="22"/>
              </w:rPr>
              <w:t xml:space="preserve"> §-</w:t>
            </w:r>
            <w:proofErr w:type="spellStart"/>
            <w:r w:rsidRPr="006735B9">
              <w:rPr>
                <w:sz w:val="22"/>
                <w:szCs w:val="22"/>
              </w:rPr>
              <w:t>ának</w:t>
            </w:r>
            <w:proofErr w:type="spellEnd"/>
            <w:r w:rsidRPr="006735B9">
              <w:rPr>
                <w:sz w:val="22"/>
                <w:szCs w:val="22"/>
              </w:rPr>
              <w:t xml:space="preserve"> b) pontja értelmében nem építési telek.</w:t>
            </w:r>
          </w:p>
        </w:tc>
      </w:tr>
    </w:tbl>
    <w:p w:rsidR="00B76354" w:rsidRDefault="00B76354" w:rsidP="001322A5">
      <w:pPr>
        <w:spacing w:before="120"/>
        <w:jc w:val="both"/>
      </w:pPr>
      <w:r>
        <w:t xml:space="preserve">A négyszög alakú </w:t>
      </w:r>
      <w:r w:rsidR="00540B73">
        <w:t>földingatlan</w:t>
      </w:r>
      <w:r>
        <w:t xml:space="preserve"> a Salgótarján, </w:t>
      </w:r>
      <w:r w:rsidR="00540B73">
        <w:t>Újakna</w:t>
      </w:r>
      <w:r w:rsidR="00B53A16">
        <w:t>i</w:t>
      </w:r>
      <w:r>
        <w:t xml:space="preserve"> út </w:t>
      </w:r>
      <w:r w:rsidR="00540B73">
        <w:t>végén</w:t>
      </w:r>
      <w:r>
        <w:t xml:space="preserve"> helyezkedik el. A domborzati viszonyok következtében az ingatlan </w:t>
      </w:r>
      <w:r w:rsidR="00540B73">
        <w:t>hozzávetőlegesen sík felületű</w:t>
      </w:r>
      <w:r w:rsidR="00460D59">
        <w:t>, melynek megközelítés</w:t>
      </w:r>
      <w:r w:rsidR="00B53A16">
        <w:t>e</w:t>
      </w:r>
      <w:r w:rsidR="00460D59">
        <w:t xml:space="preserve"> földúton biztosított</w:t>
      </w:r>
      <w:r>
        <w:t>. A közhiteles ingatlan-nyilvántartásban „beépítetlen terület” megnevezésű gondozatlan telek</w:t>
      </w:r>
      <w:r w:rsidR="00460D59">
        <w:t xml:space="preserve"> nem minősül építési teleknek, mivel </w:t>
      </w:r>
      <w:r w:rsidR="00755D30">
        <w:t xml:space="preserve">annak területe nem éri el </w:t>
      </w:r>
      <w:r w:rsidR="00460D59">
        <w:t>az övezeti szabályozásban rögzített legkisebb telekméretet</w:t>
      </w:r>
      <w:r>
        <w:t xml:space="preserve">. </w:t>
      </w:r>
      <w:r w:rsidR="00755D30">
        <w:t>Az ingatlan telken belüli közműbekötéssel nem rendelkezik. Az összes közmű az Újakna</w:t>
      </w:r>
      <w:r w:rsidR="00E82078">
        <w:t>i</w:t>
      </w:r>
      <w:r w:rsidR="00755D30">
        <w:t xml:space="preserve"> nevű lakóút burkolt része alatt került k</w:t>
      </w:r>
      <w:r w:rsidR="004928AF">
        <w:t>i</w:t>
      </w:r>
      <w:r w:rsidR="00755D30">
        <w:t xml:space="preserve">építésre, így az értékesítendő ingatlan előtti földút </w:t>
      </w:r>
      <w:r w:rsidR="004928AF">
        <w:t xml:space="preserve">szakasz alatt nincs vezeték, ezért a rákötés kizárólag a gerinchálózat meghosszabbítását követően válhat </w:t>
      </w:r>
      <w:proofErr w:type="spellStart"/>
      <w:r w:rsidR="004928AF">
        <w:t>biztosítottá</w:t>
      </w:r>
      <w:proofErr w:type="spellEnd"/>
      <w:r w:rsidR="004928AF">
        <w:t>.</w:t>
      </w:r>
    </w:p>
    <w:p w:rsidR="006E4335" w:rsidRDefault="006E4335" w:rsidP="001F71AF">
      <w:pPr>
        <w:jc w:val="both"/>
      </w:pPr>
    </w:p>
    <w:p w:rsidR="001322A5" w:rsidRDefault="001322A5" w:rsidP="001F71AF">
      <w:pPr>
        <w:jc w:val="both"/>
      </w:pPr>
    </w:p>
    <w:p w:rsidR="00755D30" w:rsidRPr="000E1F92" w:rsidRDefault="00397A0D" w:rsidP="002F0C19">
      <w:pPr>
        <w:pStyle w:val="Listaszerbekezds"/>
        <w:numPr>
          <w:ilvl w:val="0"/>
          <w:numId w:val="21"/>
        </w:numPr>
        <w:spacing w:after="120"/>
        <w:ind w:left="426" w:hanging="426"/>
        <w:contextualSpacing w:val="0"/>
        <w:jc w:val="both"/>
        <w:rPr>
          <w:b/>
          <w:u w:val="single"/>
        </w:rPr>
      </w:pPr>
      <w:r>
        <w:rPr>
          <w:b/>
          <w:u w:val="single"/>
        </w:rPr>
        <w:lastRenderedPageBreak/>
        <w:t>5162/10</w:t>
      </w:r>
      <w:r w:rsidRPr="000E1F92">
        <w:rPr>
          <w:b/>
          <w:u w:val="single"/>
        </w:rPr>
        <w:t xml:space="preserve"> helyrajzi számú ingatlan</w:t>
      </w:r>
    </w:p>
    <w:p w:rsidR="00397A0D" w:rsidRDefault="00E05217" w:rsidP="002F0C19">
      <w:pPr>
        <w:pStyle w:val="Listaszerbekezds"/>
        <w:spacing w:after="120"/>
        <w:ind w:left="426"/>
        <w:contextualSpacing w:val="0"/>
        <w:jc w:val="both"/>
      </w:pPr>
      <w:r>
        <w:t>2</w:t>
      </w:r>
      <w:r w:rsidR="00397A0D" w:rsidRPr="004928AF">
        <w:t>.</w:t>
      </w:r>
      <w:r w:rsidR="001322A5">
        <w:t xml:space="preserve"> </w:t>
      </w:r>
      <w:r w:rsidR="00397A0D" w:rsidRPr="004928AF">
        <w:t>számú melléklet tartalmazza a közmű térképet, szabályozási tervlap kivonatot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2"/>
        <w:gridCol w:w="1985"/>
        <w:gridCol w:w="1559"/>
        <w:gridCol w:w="2693"/>
      </w:tblGrid>
      <w:tr w:rsidR="00294D36" w:rsidRPr="006735B9" w:rsidTr="001322A5">
        <w:trPr>
          <w:trHeight w:val="622"/>
          <w:jc w:val="center"/>
        </w:trPr>
        <w:tc>
          <w:tcPr>
            <w:tcW w:w="1701" w:type="dxa"/>
            <w:shd w:val="clear" w:color="auto" w:fill="auto"/>
            <w:vAlign w:val="center"/>
          </w:tcPr>
          <w:p w:rsidR="00294D36" w:rsidRPr="006735B9" w:rsidRDefault="00294D36" w:rsidP="00294D36">
            <w:pPr>
              <w:tabs>
                <w:tab w:val="left" w:pos="5954"/>
              </w:tabs>
              <w:spacing w:after="120" w:line="252" w:lineRule="auto"/>
              <w:jc w:val="center"/>
              <w:rPr>
                <w:b/>
                <w:sz w:val="22"/>
                <w:szCs w:val="22"/>
              </w:rPr>
            </w:pPr>
            <w:r w:rsidRPr="006735B9">
              <w:rPr>
                <w:b/>
                <w:sz w:val="22"/>
                <w:szCs w:val="22"/>
              </w:rPr>
              <w:t>cím</w:t>
            </w:r>
          </w:p>
        </w:tc>
        <w:tc>
          <w:tcPr>
            <w:tcW w:w="992" w:type="dxa"/>
            <w:shd w:val="clear" w:color="auto" w:fill="auto"/>
            <w:vAlign w:val="center"/>
          </w:tcPr>
          <w:p w:rsidR="00294D36" w:rsidRPr="006735B9" w:rsidRDefault="00294D36" w:rsidP="00294D36">
            <w:pPr>
              <w:tabs>
                <w:tab w:val="left" w:pos="5954"/>
              </w:tabs>
              <w:spacing w:after="120" w:line="252" w:lineRule="auto"/>
              <w:ind w:left="-90" w:firstLine="90"/>
              <w:jc w:val="center"/>
              <w:rPr>
                <w:b/>
                <w:sz w:val="22"/>
                <w:szCs w:val="22"/>
              </w:rPr>
            </w:pPr>
            <w:r w:rsidRPr="006735B9">
              <w:rPr>
                <w:b/>
                <w:sz w:val="22"/>
                <w:szCs w:val="22"/>
              </w:rPr>
              <w:t>terület</w:t>
            </w:r>
          </w:p>
        </w:tc>
        <w:tc>
          <w:tcPr>
            <w:tcW w:w="1985" w:type="dxa"/>
            <w:shd w:val="clear" w:color="auto" w:fill="auto"/>
            <w:vAlign w:val="center"/>
          </w:tcPr>
          <w:p w:rsidR="00294D36" w:rsidRPr="006735B9" w:rsidRDefault="00294D36" w:rsidP="00294D36">
            <w:pPr>
              <w:tabs>
                <w:tab w:val="left" w:pos="5954"/>
              </w:tabs>
              <w:spacing w:line="252" w:lineRule="auto"/>
              <w:jc w:val="center"/>
              <w:rPr>
                <w:b/>
                <w:sz w:val="22"/>
                <w:szCs w:val="22"/>
              </w:rPr>
            </w:pPr>
            <w:r w:rsidRPr="006735B9">
              <w:rPr>
                <w:b/>
                <w:sz w:val="22"/>
                <w:szCs w:val="22"/>
              </w:rPr>
              <w:t>induló vételár</w:t>
            </w:r>
          </w:p>
        </w:tc>
        <w:tc>
          <w:tcPr>
            <w:tcW w:w="1559" w:type="dxa"/>
            <w:shd w:val="clear" w:color="auto" w:fill="auto"/>
            <w:vAlign w:val="center"/>
          </w:tcPr>
          <w:p w:rsidR="00294D36" w:rsidRPr="006735B9" w:rsidRDefault="00294D36" w:rsidP="00294D36">
            <w:pPr>
              <w:tabs>
                <w:tab w:val="left" w:pos="5954"/>
              </w:tabs>
              <w:spacing w:after="120" w:line="252" w:lineRule="auto"/>
              <w:jc w:val="center"/>
              <w:rPr>
                <w:b/>
                <w:sz w:val="22"/>
                <w:szCs w:val="22"/>
              </w:rPr>
            </w:pPr>
            <w:r w:rsidRPr="006735B9">
              <w:rPr>
                <w:b/>
                <w:sz w:val="22"/>
                <w:szCs w:val="22"/>
              </w:rPr>
              <w:t>övezeti besorolás</w:t>
            </w:r>
          </w:p>
        </w:tc>
        <w:tc>
          <w:tcPr>
            <w:tcW w:w="2693" w:type="dxa"/>
            <w:shd w:val="clear" w:color="auto" w:fill="auto"/>
            <w:vAlign w:val="center"/>
          </w:tcPr>
          <w:p w:rsidR="00294D36" w:rsidRPr="006735B9" w:rsidRDefault="00294D36" w:rsidP="00294D36">
            <w:pPr>
              <w:tabs>
                <w:tab w:val="left" w:pos="5954"/>
              </w:tabs>
              <w:spacing w:after="120" w:line="252" w:lineRule="auto"/>
              <w:jc w:val="center"/>
              <w:rPr>
                <w:b/>
                <w:sz w:val="22"/>
                <w:szCs w:val="22"/>
              </w:rPr>
            </w:pPr>
            <w:r w:rsidRPr="006735B9">
              <w:rPr>
                <w:b/>
                <w:sz w:val="22"/>
                <w:szCs w:val="22"/>
              </w:rPr>
              <w:t>megjegyzés</w:t>
            </w:r>
          </w:p>
        </w:tc>
      </w:tr>
      <w:tr w:rsidR="00294D36" w:rsidRPr="006735B9" w:rsidTr="001322A5">
        <w:trPr>
          <w:trHeight w:val="622"/>
          <w:jc w:val="center"/>
        </w:trPr>
        <w:tc>
          <w:tcPr>
            <w:tcW w:w="1701" w:type="dxa"/>
            <w:shd w:val="clear" w:color="auto" w:fill="auto"/>
            <w:vAlign w:val="center"/>
          </w:tcPr>
          <w:p w:rsidR="00294D36" w:rsidRPr="006735B9" w:rsidRDefault="00294D36" w:rsidP="00294D36">
            <w:pPr>
              <w:tabs>
                <w:tab w:val="left" w:pos="5954"/>
              </w:tabs>
              <w:spacing w:line="252" w:lineRule="auto"/>
              <w:jc w:val="center"/>
              <w:rPr>
                <w:sz w:val="22"/>
                <w:szCs w:val="22"/>
              </w:rPr>
            </w:pPr>
            <w:r w:rsidRPr="006735B9">
              <w:rPr>
                <w:sz w:val="22"/>
                <w:szCs w:val="22"/>
              </w:rPr>
              <w:t>Újaknai út 35/B.</w:t>
            </w:r>
          </w:p>
        </w:tc>
        <w:tc>
          <w:tcPr>
            <w:tcW w:w="992" w:type="dxa"/>
            <w:shd w:val="clear" w:color="auto" w:fill="auto"/>
            <w:vAlign w:val="center"/>
          </w:tcPr>
          <w:p w:rsidR="00294D36" w:rsidRPr="006735B9" w:rsidRDefault="00294D36" w:rsidP="00294D36">
            <w:pPr>
              <w:tabs>
                <w:tab w:val="left" w:pos="5954"/>
              </w:tabs>
              <w:spacing w:line="252" w:lineRule="auto"/>
              <w:jc w:val="center"/>
              <w:rPr>
                <w:sz w:val="22"/>
                <w:szCs w:val="22"/>
              </w:rPr>
            </w:pPr>
            <w:r w:rsidRPr="006735B9">
              <w:rPr>
                <w:sz w:val="22"/>
                <w:szCs w:val="22"/>
              </w:rPr>
              <w:t>3057 m</w:t>
            </w:r>
            <w:r w:rsidRPr="006735B9">
              <w:rPr>
                <w:sz w:val="22"/>
                <w:szCs w:val="22"/>
                <w:vertAlign w:val="superscript"/>
              </w:rPr>
              <w:t>2</w:t>
            </w:r>
          </w:p>
        </w:tc>
        <w:tc>
          <w:tcPr>
            <w:tcW w:w="1985" w:type="dxa"/>
            <w:shd w:val="clear" w:color="auto" w:fill="auto"/>
            <w:vAlign w:val="center"/>
          </w:tcPr>
          <w:p w:rsidR="00294D36" w:rsidRPr="006735B9" w:rsidRDefault="00294D36" w:rsidP="00294D36">
            <w:pPr>
              <w:tabs>
                <w:tab w:val="left" w:pos="5954"/>
              </w:tabs>
              <w:spacing w:line="252" w:lineRule="auto"/>
              <w:jc w:val="center"/>
              <w:rPr>
                <w:sz w:val="22"/>
                <w:szCs w:val="22"/>
              </w:rPr>
            </w:pPr>
            <w:r w:rsidRPr="006735B9">
              <w:rPr>
                <w:sz w:val="22"/>
                <w:szCs w:val="22"/>
              </w:rPr>
              <w:t>5.800.000</w:t>
            </w:r>
            <w:r w:rsidR="001322A5">
              <w:rPr>
                <w:sz w:val="22"/>
                <w:szCs w:val="22"/>
              </w:rPr>
              <w:t>.</w:t>
            </w:r>
            <w:r w:rsidRPr="006735B9">
              <w:rPr>
                <w:sz w:val="22"/>
                <w:szCs w:val="22"/>
              </w:rPr>
              <w:t>- Ft</w:t>
            </w:r>
            <w:r w:rsidR="00A77021">
              <w:rPr>
                <w:sz w:val="22"/>
                <w:szCs w:val="22"/>
              </w:rPr>
              <w:t xml:space="preserve"> + áfa</w:t>
            </w:r>
          </w:p>
        </w:tc>
        <w:tc>
          <w:tcPr>
            <w:tcW w:w="1559" w:type="dxa"/>
            <w:shd w:val="clear" w:color="auto" w:fill="auto"/>
            <w:vAlign w:val="center"/>
          </w:tcPr>
          <w:p w:rsidR="00294D36" w:rsidRDefault="00294D36" w:rsidP="00294D36">
            <w:pPr>
              <w:tabs>
                <w:tab w:val="left" w:pos="5954"/>
              </w:tabs>
              <w:spacing w:line="252" w:lineRule="auto"/>
              <w:jc w:val="center"/>
              <w:rPr>
                <w:sz w:val="22"/>
                <w:szCs w:val="22"/>
              </w:rPr>
            </w:pPr>
            <w:proofErr w:type="spellStart"/>
            <w:r w:rsidRPr="006735B9">
              <w:rPr>
                <w:sz w:val="22"/>
                <w:szCs w:val="22"/>
              </w:rPr>
              <w:t>Lke</w:t>
            </w:r>
            <w:proofErr w:type="spellEnd"/>
          </w:p>
          <w:p w:rsidR="00294D36" w:rsidRPr="006735B9" w:rsidRDefault="00294D36" w:rsidP="00294D36">
            <w:pPr>
              <w:tabs>
                <w:tab w:val="left" w:pos="5954"/>
              </w:tabs>
              <w:spacing w:line="252" w:lineRule="auto"/>
              <w:jc w:val="center"/>
              <w:rPr>
                <w:sz w:val="22"/>
                <w:szCs w:val="22"/>
              </w:rPr>
            </w:pPr>
            <w:r>
              <w:rPr>
                <w:sz w:val="22"/>
                <w:szCs w:val="22"/>
              </w:rPr>
              <w:t>kertvárosias lakóterület</w:t>
            </w:r>
          </w:p>
        </w:tc>
        <w:tc>
          <w:tcPr>
            <w:tcW w:w="2693" w:type="dxa"/>
            <w:shd w:val="clear" w:color="auto" w:fill="auto"/>
            <w:vAlign w:val="center"/>
          </w:tcPr>
          <w:p w:rsidR="00294D36" w:rsidRPr="006735B9" w:rsidRDefault="00294D36" w:rsidP="00294D36">
            <w:pPr>
              <w:tabs>
                <w:tab w:val="left" w:pos="5954"/>
              </w:tabs>
              <w:spacing w:line="252" w:lineRule="auto"/>
              <w:jc w:val="center"/>
              <w:rPr>
                <w:sz w:val="22"/>
                <w:szCs w:val="22"/>
              </w:rPr>
            </w:pPr>
            <w:r w:rsidRPr="006735B9">
              <w:rPr>
                <w:sz w:val="22"/>
                <w:szCs w:val="22"/>
              </w:rPr>
              <w:t>építési telek</w:t>
            </w:r>
            <w:r>
              <w:rPr>
                <w:sz w:val="22"/>
                <w:szCs w:val="22"/>
              </w:rPr>
              <w:t>,</w:t>
            </w:r>
          </w:p>
          <w:p w:rsidR="00294D36" w:rsidRPr="006735B9" w:rsidRDefault="00294D36" w:rsidP="00294D36">
            <w:pPr>
              <w:tabs>
                <w:tab w:val="left" w:pos="5954"/>
              </w:tabs>
              <w:spacing w:line="252" w:lineRule="auto"/>
              <w:jc w:val="center"/>
              <w:rPr>
                <w:sz w:val="22"/>
                <w:szCs w:val="22"/>
              </w:rPr>
            </w:pPr>
            <w:r w:rsidRPr="006735B9">
              <w:rPr>
                <w:sz w:val="22"/>
                <w:szCs w:val="22"/>
              </w:rPr>
              <w:t>elővásárlási joggal érintett a jogosult Magyar Állam</w:t>
            </w:r>
          </w:p>
        </w:tc>
      </w:tr>
    </w:tbl>
    <w:p w:rsidR="00397A0D" w:rsidRDefault="00397A0D" w:rsidP="001322A5">
      <w:pPr>
        <w:spacing w:before="120"/>
        <w:jc w:val="both"/>
      </w:pPr>
      <w:r>
        <w:t xml:space="preserve">A szabálytalan alakú </w:t>
      </w:r>
      <w:r w:rsidR="00462820">
        <w:t>építési telek</w:t>
      </w:r>
      <w:r>
        <w:t xml:space="preserve"> a Salgótarján, Újakna</w:t>
      </w:r>
      <w:r w:rsidR="00E82078">
        <w:t>i</w:t>
      </w:r>
      <w:r>
        <w:t xml:space="preserve"> út végén helyezkedik el. A domborzati viszonyok következtében az ingatlan hozzávetőlegesen sík felületű, melynek </w:t>
      </w:r>
      <w:r w:rsidR="00D56C08">
        <w:t>végén nagy szintkülönbségből adódóan magas ré</w:t>
      </w:r>
      <w:r w:rsidR="00E82078">
        <w:t>zs</w:t>
      </w:r>
      <w:r w:rsidR="00D56C08">
        <w:t>űfal található.</w:t>
      </w:r>
      <w:r>
        <w:t xml:space="preserve"> </w:t>
      </w:r>
      <w:r w:rsidR="00462820">
        <w:t xml:space="preserve">A telek megközelítését </w:t>
      </w:r>
      <w:r>
        <w:t>földút biztosít</w:t>
      </w:r>
      <w:r w:rsidR="00462820">
        <w:t>ja</w:t>
      </w:r>
      <w:r>
        <w:t xml:space="preserve">. A közhiteles ingatlan-nyilvántartásban „beépítetlen terület” megnevezésű gondozatlan </w:t>
      </w:r>
      <w:r w:rsidR="00462820">
        <w:t xml:space="preserve">ingatlan </w:t>
      </w:r>
      <w:r>
        <w:t>közműbekötéssel nem rendelkezik. Az összes közmű az Újakna</w:t>
      </w:r>
      <w:r w:rsidR="00E82078">
        <w:t>i</w:t>
      </w:r>
      <w:r>
        <w:t xml:space="preserve"> nevű lakóút burkolt része alatt került kiépítésre, így az értékesítendő ingatlan előtti földút szakasz alatt nincs vezeték, ezért a rákötés kizárólag a gerinchálózat meghosszabbítását követően válhat </w:t>
      </w:r>
      <w:proofErr w:type="spellStart"/>
      <w:r>
        <w:t>biztosítottá</w:t>
      </w:r>
      <w:proofErr w:type="spellEnd"/>
      <w:r>
        <w:t>.</w:t>
      </w:r>
    </w:p>
    <w:p w:rsidR="006E4335" w:rsidRDefault="00462820" w:rsidP="001F71AF">
      <w:pPr>
        <w:jc w:val="both"/>
      </w:pPr>
      <w:r>
        <w:t>Ezen ingatlan esetében a Magyar Államnak elővásárlási joga van!</w:t>
      </w:r>
    </w:p>
    <w:p w:rsidR="00462820" w:rsidRDefault="00462820" w:rsidP="001F71AF">
      <w:pPr>
        <w:jc w:val="both"/>
      </w:pPr>
    </w:p>
    <w:p w:rsidR="00397A0D" w:rsidRPr="000E1F92" w:rsidRDefault="00397A0D" w:rsidP="002F0C19">
      <w:pPr>
        <w:pStyle w:val="Listaszerbekezds"/>
        <w:numPr>
          <w:ilvl w:val="0"/>
          <w:numId w:val="21"/>
        </w:numPr>
        <w:spacing w:after="120"/>
        <w:ind w:left="426" w:hanging="426"/>
        <w:contextualSpacing w:val="0"/>
        <w:jc w:val="both"/>
        <w:rPr>
          <w:b/>
          <w:u w:val="single"/>
        </w:rPr>
      </w:pPr>
      <w:r>
        <w:rPr>
          <w:b/>
          <w:u w:val="single"/>
        </w:rPr>
        <w:t>5162/11</w:t>
      </w:r>
      <w:r w:rsidRPr="000E1F92">
        <w:rPr>
          <w:b/>
          <w:u w:val="single"/>
        </w:rPr>
        <w:t xml:space="preserve"> helyrajzi számú ingatlan</w:t>
      </w:r>
    </w:p>
    <w:p w:rsidR="00397A0D" w:rsidRDefault="00E05217" w:rsidP="002F0C19">
      <w:pPr>
        <w:pStyle w:val="Listaszerbekezds"/>
        <w:spacing w:after="120"/>
        <w:ind w:left="426"/>
        <w:contextualSpacing w:val="0"/>
        <w:jc w:val="both"/>
      </w:pPr>
      <w:r>
        <w:t>2</w:t>
      </w:r>
      <w:r w:rsidR="00397A0D" w:rsidRPr="004928AF">
        <w:t>.</w:t>
      </w:r>
      <w:r w:rsidR="001322A5">
        <w:t xml:space="preserve"> </w:t>
      </w:r>
      <w:r w:rsidR="00397A0D" w:rsidRPr="004928AF">
        <w:t>számú melléklet tartalmazza a közmű térképet, szabályozási tervlap kivonatot</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1985"/>
        <w:gridCol w:w="1559"/>
        <w:gridCol w:w="1701"/>
      </w:tblGrid>
      <w:tr w:rsidR="00294D36" w:rsidRPr="006735B9" w:rsidTr="001322A5">
        <w:trPr>
          <w:trHeight w:val="622"/>
          <w:jc w:val="center"/>
        </w:trPr>
        <w:tc>
          <w:tcPr>
            <w:tcW w:w="1843" w:type="dxa"/>
            <w:shd w:val="clear" w:color="auto" w:fill="auto"/>
            <w:vAlign w:val="center"/>
          </w:tcPr>
          <w:p w:rsidR="00294D36" w:rsidRPr="006735B9" w:rsidRDefault="00294D36" w:rsidP="00294D36">
            <w:pPr>
              <w:tabs>
                <w:tab w:val="left" w:pos="5954"/>
              </w:tabs>
              <w:spacing w:after="120" w:line="252" w:lineRule="auto"/>
              <w:jc w:val="center"/>
              <w:rPr>
                <w:b/>
                <w:sz w:val="22"/>
                <w:szCs w:val="22"/>
              </w:rPr>
            </w:pPr>
            <w:r w:rsidRPr="006735B9">
              <w:rPr>
                <w:b/>
                <w:sz w:val="22"/>
                <w:szCs w:val="22"/>
              </w:rPr>
              <w:t>cím</w:t>
            </w:r>
          </w:p>
        </w:tc>
        <w:tc>
          <w:tcPr>
            <w:tcW w:w="992" w:type="dxa"/>
            <w:shd w:val="clear" w:color="auto" w:fill="auto"/>
            <w:vAlign w:val="center"/>
          </w:tcPr>
          <w:p w:rsidR="00294D36" w:rsidRPr="006735B9" w:rsidRDefault="00294D36" w:rsidP="00294D36">
            <w:pPr>
              <w:tabs>
                <w:tab w:val="left" w:pos="5954"/>
              </w:tabs>
              <w:spacing w:after="120" w:line="252" w:lineRule="auto"/>
              <w:ind w:left="-90" w:firstLine="90"/>
              <w:jc w:val="center"/>
              <w:rPr>
                <w:b/>
                <w:sz w:val="22"/>
                <w:szCs w:val="22"/>
              </w:rPr>
            </w:pPr>
            <w:r w:rsidRPr="006735B9">
              <w:rPr>
                <w:b/>
                <w:sz w:val="22"/>
                <w:szCs w:val="22"/>
              </w:rPr>
              <w:t>terület</w:t>
            </w:r>
          </w:p>
        </w:tc>
        <w:tc>
          <w:tcPr>
            <w:tcW w:w="1985" w:type="dxa"/>
            <w:shd w:val="clear" w:color="auto" w:fill="auto"/>
            <w:vAlign w:val="center"/>
          </w:tcPr>
          <w:p w:rsidR="00294D36" w:rsidRPr="006735B9" w:rsidRDefault="00294D36" w:rsidP="00294D36">
            <w:pPr>
              <w:tabs>
                <w:tab w:val="left" w:pos="5954"/>
              </w:tabs>
              <w:spacing w:line="252" w:lineRule="auto"/>
              <w:jc w:val="center"/>
              <w:rPr>
                <w:b/>
                <w:sz w:val="22"/>
                <w:szCs w:val="22"/>
              </w:rPr>
            </w:pPr>
            <w:r w:rsidRPr="006735B9">
              <w:rPr>
                <w:b/>
                <w:sz w:val="22"/>
                <w:szCs w:val="22"/>
              </w:rPr>
              <w:t>induló vételár</w:t>
            </w:r>
          </w:p>
        </w:tc>
        <w:tc>
          <w:tcPr>
            <w:tcW w:w="1559" w:type="dxa"/>
            <w:shd w:val="clear" w:color="auto" w:fill="auto"/>
            <w:vAlign w:val="center"/>
          </w:tcPr>
          <w:p w:rsidR="00294D36" w:rsidRPr="006735B9" w:rsidRDefault="00294D36" w:rsidP="00294D36">
            <w:pPr>
              <w:tabs>
                <w:tab w:val="left" w:pos="5954"/>
              </w:tabs>
              <w:spacing w:after="120" w:line="252" w:lineRule="auto"/>
              <w:jc w:val="center"/>
              <w:rPr>
                <w:b/>
                <w:sz w:val="22"/>
                <w:szCs w:val="22"/>
              </w:rPr>
            </w:pPr>
            <w:r w:rsidRPr="006735B9">
              <w:rPr>
                <w:b/>
                <w:sz w:val="22"/>
                <w:szCs w:val="22"/>
              </w:rPr>
              <w:t>övezeti besorolás</w:t>
            </w:r>
          </w:p>
        </w:tc>
        <w:tc>
          <w:tcPr>
            <w:tcW w:w="1701" w:type="dxa"/>
            <w:shd w:val="clear" w:color="auto" w:fill="auto"/>
            <w:vAlign w:val="center"/>
          </w:tcPr>
          <w:p w:rsidR="00294D36" w:rsidRPr="006735B9" w:rsidRDefault="00294D36" w:rsidP="00294D36">
            <w:pPr>
              <w:tabs>
                <w:tab w:val="left" w:pos="5954"/>
              </w:tabs>
              <w:spacing w:after="120" w:line="252" w:lineRule="auto"/>
              <w:jc w:val="center"/>
              <w:rPr>
                <w:b/>
                <w:sz w:val="22"/>
                <w:szCs w:val="22"/>
              </w:rPr>
            </w:pPr>
            <w:r w:rsidRPr="006735B9">
              <w:rPr>
                <w:b/>
                <w:sz w:val="22"/>
                <w:szCs w:val="22"/>
              </w:rPr>
              <w:t>megjegyzés</w:t>
            </w:r>
          </w:p>
        </w:tc>
      </w:tr>
      <w:tr w:rsidR="00294D36" w:rsidRPr="006735B9" w:rsidTr="001322A5">
        <w:trPr>
          <w:trHeight w:val="622"/>
          <w:jc w:val="center"/>
        </w:trPr>
        <w:tc>
          <w:tcPr>
            <w:tcW w:w="1843" w:type="dxa"/>
            <w:shd w:val="clear" w:color="auto" w:fill="auto"/>
            <w:vAlign w:val="center"/>
          </w:tcPr>
          <w:p w:rsidR="00294D36" w:rsidRPr="006735B9" w:rsidRDefault="00294D36" w:rsidP="00294D36">
            <w:pPr>
              <w:tabs>
                <w:tab w:val="left" w:pos="5954"/>
              </w:tabs>
              <w:spacing w:line="252" w:lineRule="auto"/>
              <w:jc w:val="center"/>
              <w:rPr>
                <w:sz w:val="22"/>
                <w:szCs w:val="22"/>
              </w:rPr>
            </w:pPr>
            <w:r w:rsidRPr="006735B9">
              <w:rPr>
                <w:sz w:val="22"/>
                <w:szCs w:val="22"/>
              </w:rPr>
              <w:t>Újaknai út 33/B.</w:t>
            </w:r>
          </w:p>
        </w:tc>
        <w:tc>
          <w:tcPr>
            <w:tcW w:w="992" w:type="dxa"/>
            <w:shd w:val="clear" w:color="auto" w:fill="auto"/>
            <w:vAlign w:val="center"/>
          </w:tcPr>
          <w:p w:rsidR="00294D36" w:rsidRPr="006735B9" w:rsidRDefault="00294D36" w:rsidP="00294D36">
            <w:pPr>
              <w:tabs>
                <w:tab w:val="left" w:pos="5954"/>
              </w:tabs>
              <w:spacing w:line="252" w:lineRule="auto"/>
              <w:jc w:val="center"/>
              <w:rPr>
                <w:sz w:val="22"/>
                <w:szCs w:val="22"/>
              </w:rPr>
            </w:pPr>
            <w:r w:rsidRPr="006735B9">
              <w:rPr>
                <w:sz w:val="22"/>
                <w:szCs w:val="22"/>
              </w:rPr>
              <w:t>688 m</w:t>
            </w:r>
            <w:r w:rsidRPr="006735B9">
              <w:rPr>
                <w:sz w:val="22"/>
                <w:szCs w:val="22"/>
                <w:vertAlign w:val="superscript"/>
              </w:rPr>
              <w:t>2</w:t>
            </w:r>
          </w:p>
        </w:tc>
        <w:tc>
          <w:tcPr>
            <w:tcW w:w="1985" w:type="dxa"/>
            <w:shd w:val="clear" w:color="auto" w:fill="auto"/>
            <w:vAlign w:val="center"/>
          </w:tcPr>
          <w:p w:rsidR="00294D36" w:rsidRPr="006735B9" w:rsidRDefault="00294D36" w:rsidP="00294D36">
            <w:pPr>
              <w:tabs>
                <w:tab w:val="left" w:pos="5954"/>
              </w:tabs>
              <w:spacing w:line="252" w:lineRule="auto"/>
              <w:jc w:val="center"/>
              <w:rPr>
                <w:sz w:val="22"/>
                <w:szCs w:val="22"/>
              </w:rPr>
            </w:pPr>
            <w:r w:rsidRPr="006735B9">
              <w:rPr>
                <w:sz w:val="22"/>
                <w:szCs w:val="22"/>
              </w:rPr>
              <w:t>1.800.000</w:t>
            </w:r>
            <w:r w:rsidR="001322A5">
              <w:rPr>
                <w:sz w:val="22"/>
                <w:szCs w:val="22"/>
              </w:rPr>
              <w:t>.</w:t>
            </w:r>
            <w:r w:rsidRPr="006735B9">
              <w:rPr>
                <w:sz w:val="22"/>
                <w:szCs w:val="22"/>
              </w:rPr>
              <w:t>- Ft</w:t>
            </w:r>
            <w:r w:rsidR="00A77021">
              <w:rPr>
                <w:sz w:val="22"/>
                <w:szCs w:val="22"/>
              </w:rPr>
              <w:t xml:space="preserve"> + áfa</w:t>
            </w:r>
          </w:p>
        </w:tc>
        <w:tc>
          <w:tcPr>
            <w:tcW w:w="1559" w:type="dxa"/>
            <w:shd w:val="clear" w:color="auto" w:fill="auto"/>
            <w:vAlign w:val="center"/>
          </w:tcPr>
          <w:p w:rsidR="00294D36" w:rsidRDefault="00294D36" w:rsidP="00294D36">
            <w:pPr>
              <w:tabs>
                <w:tab w:val="left" w:pos="5954"/>
              </w:tabs>
              <w:spacing w:line="252" w:lineRule="auto"/>
              <w:jc w:val="center"/>
              <w:rPr>
                <w:sz w:val="22"/>
                <w:szCs w:val="22"/>
              </w:rPr>
            </w:pPr>
            <w:proofErr w:type="spellStart"/>
            <w:r w:rsidRPr="006735B9">
              <w:rPr>
                <w:sz w:val="22"/>
                <w:szCs w:val="22"/>
              </w:rPr>
              <w:t>Lke</w:t>
            </w:r>
            <w:proofErr w:type="spellEnd"/>
          </w:p>
          <w:p w:rsidR="00294D36" w:rsidRPr="006735B9" w:rsidRDefault="00294D36" w:rsidP="00294D36">
            <w:pPr>
              <w:tabs>
                <w:tab w:val="left" w:pos="5954"/>
              </w:tabs>
              <w:spacing w:line="252" w:lineRule="auto"/>
              <w:jc w:val="center"/>
              <w:rPr>
                <w:sz w:val="22"/>
                <w:szCs w:val="22"/>
              </w:rPr>
            </w:pPr>
            <w:r>
              <w:rPr>
                <w:sz w:val="22"/>
                <w:szCs w:val="22"/>
              </w:rPr>
              <w:t>kertvárosias lakóterület</w:t>
            </w:r>
          </w:p>
        </w:tc>
        <w:tc>
          <w:tcPr>
            <w:tcW w:w="1701" w:type="dxa"/>
            <w:shd w:val="clear" w:color="auto" w:fill="auto"/>
            <w:vAlign w:val="center"/>
          </w:tcPr>
          <w:p w:rsidR="00294D36" w:rsidRPr="006735B9" w:rsidRDefault="00294D36" w:rsidP="00294D36">
            <w:pPr>
              <w:tabs>
                <w:tab w:val="left" w:pos="5954"/>
              </w:tabs>
              <w:spacing w:line="252" w:lineRule="auto"/>
              <w:jc w:val="center"/>
              <w:rPr>
                <w:sz w:val="22"/>
                <w:szCs w:val="22"/>
              </w:rPr>
            </w:pPr>
            <w:r w:rsidRPr="006735B9">
              <w:rPr>
                <w:sz w:val="22"/>
                <w:szCs w:val="22"/>
              </w:rPr>
              <w:t>építési telek</w:t>
            </w:r>
          </w:p>
        </w:tc>
      </w:tr>
    </w:tbl>
    <w:p w:rsidR="0049466E" w:rsidRDefault="00462820" w:rsidP="001322A5">
      <w:pPr>
        <w:spacing w:before="120"/>
        <w:jc w:val="both"/>
      </w:pPr>
      <w:r>
        <w:t>A szabálytalan alakú építési telek a Salgótarján, Újakna</w:t>
      </w:r>
      <w:r w:rsidR="00952A6D">
        <w:t>i</w:t>
      </w:r>
      <w:r>
        <w:t xml:space="preserve"> út végén helyezkedik el. A domborzati viszonyok következtében az ingatlan hozzávetőlegesen sík felületű. A telek megközelítését földút biztosítja. A közhiteles ingatlan-nyilvántartásban „beépítetlen terület” megnevezésű gondozatlan növényzettel (cserje, bokor) benőtt ingatlan, közműbekötéssel nem rendelkezik. Az összes közmű az Újakna</w:t>
      </w:r>
      <w:r w:rsidR="00952A6D">
        <w:t>i</w:t>
      </w:r>
      <w:r>
        <w:t xml:space="preserve"> nevű lakóút burkolt része alatt került kiépítésre, így az értékesítendő ingatlan előtti földút szakasz alatt nincs vezeték, ezért a rákötés kizárólag a gerinchálózat meghosszabbítását követően válhat </w:t>
      </w:r>
      <w:proofErr w:type="spellStart"/>
      <w:r>
        <w:t>biztosítottá</w:t>
      </w:r>
      <w:proofErr w:type="spellEnd"/>
      <w:r>
        <w:t>.</w:t>
      </w:r>
    </w:p>
    <w:p w:rsidR="00AE4901" w:rsidRDefault="00AE4901" w:rsidP="00AC2164">
      <w:pPr>
        <w:jc w:val="both"/>
      </w:pPr>
    </w:p>
    <w:p w:rsidR="001322A5" w:rsidRDefault="001322A5" w:rsidP="00AC2164">
      <w:pPr>
        <w:jc w:val="both"/>
      </w:pPr>
    </w:p>
    <w:p w:rsidR="001F71AF" w:rsidRDefault="00626FC5" w:rsidP="00E05217">
      <w:pPr>
        <w:jc w:val="both"/>
      </w:pPr>
      <w:bookmarkStart w:id="0" w:name="_Hlk81567700"/>
      <w:bookmarkStart w:id="1" w:name="_Hlk81567492"/>
      <w:r w:rsidRPr="00B93992">
        <w:t>Az</w:t>
      </w:r>
      <w:r w:rsidR="001322A5">
        <w:t xml:space="preserve"> </w:t>
      </w:r>
      <w:r w:rsidR="00AE4901">
        <w:t>I/1-</w:t>
      </w:r>
      <w:r w:rsidR="001322A5">
        <w:t>4</w:t>
      </w:r>
      <w:r w:rsidR="00AE4901">
        <w:t xml:space="preserve">. pontban részletezett </w:t>
      </w:r>
      <w:r w:rsidRPr="00B93992">
        <w:t>értékesítendő ingatlano</w:t>
      </w:r>
      <w:r w:rsidR="00AE4901">
        <w:t>ko</w:t>
      </w:r>
      <w:r w:rsidRPr="00B93992">
        <w:t>n mérgező vagy veszélyes anyagok feltárására, felkutatására vonatkozó vizsgálat, talajmintavétel, környezetvédelmi állapotfelmérés, illetve az ingatlan</w:t>
      </w:r>
      <w:r w:rsidR="00AE4901">
        <w:t>ok</w:t>
      </w:r>
      <w:r w:rsidRPr="00B93992">
        <w:t>ra talajmechanikai vizsgálat nem készült, így a talajrétegződésre, a talajfizikai jellemzőkre, talajvíz viszonyokra adatok nincsenek, kiíró ez irányú felelősség</w:t>
      </w:r>
      <w:r w:rsidR="00A85E2C">
        <w:t>ét</w:t>
      </w:r>
      <w:r w:rsidRPr="00B93992">
        <w:t xml:space="preserve"> kizárja</w:t>
      </w:r>
      <w:r w:rsidR="003F3EC7" w:rsidRPr="00B93992">
        <w:t>.</w:t>
      </w:r>
    </w:p>
    <w:p w:rsidR="00E05217" w:rsidRPr="00B93992" w:rsidRDefault="00E05217" w:rsidP="00E05217">
      <w:pPr>
        <w:jc w:val="both"/>
      </w:pPr>
    </w:p>
    <w:p w:rsidR="000C1208" w:rsidRDefault="001F71AF" w:rsidP="00E05217">
      <w:pPr>
        <w:jc w:val="both"/>
      </w:pPr>
      <w:r w:rsidRPr="00B93992">
        <w:t>Az</w:t>
      </w:r>
      <w:r w:rsidR="001322A5">
        <w:t xml:space="preserve"> </w:t>
      </w:r>
      <w:r w:rsidR="00AE4901">
        <w:t>I/1-</w:t>
      </w:r>
      <w:r w:rsidR="001322A5">
        <w:t>4</w:t>
      </w:r>
      <w:r w:rsidR="00AE4901">
        <w:t xml:space="preserve">. pontban részletezett </w:t>
      </w:r>
      <w:r w:rsidRPr="00B93992">
        <w:t>ingatlan</w:t>
      </w:r>
      <w:r w:rsidR="00AE4901">
        <w:t>ok</w:t>
      </w:r>
      <w:r w:rsidRPr="00B93992">
        <w:t xml:space="preserve"> határvonalai nem kerültek kitűzésre</w:t>
      </w:r>
      <w:r w:rsidR="00811308" w:rsidRPr="00B93992">
        <w:t xml:space="preserve">. A kitűzési munka megrendelése és költségének viselése vevő </w:t>
      </w:r>
      <w:r w:rsidR="006962E0" w:rsidRPr="00B93992">
        <w:t>kötelezettsége</w:t>
      </w:r>
      <w:r w:rsidR="00811308" w:rsidRPr="00B93992">
        <w:t>.</w:t>
      </w:r>
    </w:p>
    <w:p w:rsidR="00E05217" w:rsidRPr="00B93992" w:rsidRDefault="00E05217" w:rsidP="00E05217">
      <w:pPr>
        <w:jc w:val="both"/>
      </w:pPr>
    </w:p>
    <w:p w:rsidR="000C1208" w:rsidRPr="002F0C19" w:rsidRDefault="00626FC5" w:rsidP="00E05217">
      <w:pPr>
        <w:jc w:val="both"/>
      </w:pPr>
      <w:r w:rsidRPr="00B93992">
        <w:t>A</w:t>
      </w:r>
      <w:r w:rsidR="00AE4901">
        <w:t xml:space="preserve"> pályázati felhívásban szereplő</w:t>
      </w:r>
      <w:r w:rsidRPr="00B93992">
        <w:t xml:space="preserve"> ingatlan</w:t>
      </w:r>
      <w:r w:rsidR="00AE4901">
        <w:t>ok</w:t>
      </w:r>
      <w:r w:rsidRPr="00B93992">
        <w:t xml:space="preserve"> jelenlegi állapotában kerül</w:t>
      </w:r>
      <w:r w:rsidR="00AE4901">
        <w:t>nek</w:t>
      </w:r>
      <w:r w:rsidRPr="00B93992">
        <w:t xml:space="preserve"> értékesítésre. A terület rendbetételével kapcsolatos költségek (tereprendezés, növényzet eltávolítása, a területen esetlegesen illegálisan lerakott hulladék</w:t>
      </w:r>
      <w:r w:rsidR="00D20A4E">
        <w:t xml:space="preserve"> egyéb ingóság</w:t>
      </w:r>
      <w:r w:rsidRPr="00B93992">
        <w:t xml:space="preserve"> elszállítása) a vevőt terhelik</w:t>
      </w:r>
      <w:r w:rsidR="00A85E2C" w:rsidRPr="002F0C19">
        <w:t>.</w:t>
      </w:r>
    </w:p>
    <w:p w:rsidR="003C6AD7" w:rsidRPr="00E05217" w:rsidRDefault="003C6AD7" w:rsidP="00E05217">
      <w:pPr>
        <w:jc w:val="both"/>
      </w:pPr>
    </w:p>
    <w:p w:rsidR="00A85E2C" w:rsidRDefault="00A85E2C" w:rsidP="00E05217">
      <w:pPr>
        <w:jc w:val="both"/>
      </w:pPr>
      <w:r w:rsidRPr="00A85E2C">
        <w:t>Az ingatla</w:t>
      </w:r>
      <w:r w:rsidR="00AE4901">
        <w:t>nok</w:t>
      </w:r>
      <w:r w:rsidRPr="00A85E2C">
        <w:t xml:space="preserve"> fizikailag nem körbezárt terület</w:t>
      </w:r>
      <w:r w:rsidR="00AE4901">
        <w:t>ek</w:t>
      </w:r>
      <w:r w:rsidRPr="00A85E2C">
        <w:t>. Az ingatlan</w:t>
      </w:r>
      <w:r w:rsidR="00AE4901">
        <w:t>ok</w:t>
      </w:r>
      <w:r w:rsidRPr="00A85E2C">
        <w:t xml:space="preserve"> birtokhatárpontjaira történő kerítés elhelyezése</w:t>
      </w:r>
      <w:r>
        <w:t xml:space="preserve"> </w:t>
      </w:r>
      <w:r w:rsidRPr="00A85E2C">
        <w:t>Vevő kötelezettsége, amennyiben az érdekkörében felmerül. Továbbá Vevő feladata az esetleges jogtalan területhasználat</w:t>
      </w:r>
      <w:r w:rsidR="00C25FD0">
        <w:t xml:space="preserve"> </w:t>
      </w:r>
      <w:r w:rsidRPr="00A85E2C">
        <w:t>megszüntetése</w:t>
      </w:r>
      <w:bookmarkEnd w:id="0"/>
      <w:r w:rsidRPr="00A85E2C">
        <w:t>.</w:t>
      </w:r>
      <w:bookmarkEnd w:id="1"/>
    </w:p>
    <w:p w:rsidR="00A67E97" w:rsidRDefault="00A67E97" w:rsidP="00A85E2C">
      <w:pPr>
        <w:spacing w:after="60"/>
        <w:jc w:val="both"/>
      </w:pPr>
    </w:p>
    <w:p w:rsidR="00A67E97" w:rsidRPr="00A85E2C" w:rsidRDefault="00A67E97" w:rsidP="00E05217">
      <w:pPr>
        <w:jc w:val="both"/>
      </w:pPr>
      <w:r>
        <w:t>Az ingatlan felhasználása kizárólag a Helyi Építési Szabályzatban foglaltak szerinti célra történhet</w:t>
      </w:r>
      <w:r w:rsidR="004D3E20">
        <w:t>.</w:t>
      </w:r>
      <w:r w:rsidRPr="006C3589">
        <w:rPr>
          <w:color w:val="FF0000"/>
        </w:rPr>
        <w:t xml:space="preserve"> </w:t>
      </w:r>
    </w:p>
    <w:p w:rsidR="000C1208" w:rsidRDefault="000C1208" w:rsidP="001A66C8">
      <w:pPr>
        <w:jc w:val="both"/>
      </w:pPr>
    </w:p>
    <w:p w:rsidR="00DF3BCD" w:rsidRPr="00B93992" w:rsidRDefault="00DF3BCD" w:rsidP="001A66C8">
      <w:pPr>
        <w:jc w:val="both"/>
      </w:pPr>
    </w:p>
    <w:p w:rsidR="000C1208" w:rsidRPr="002F0C19" w:rsidRDefault="00AE4901" w:rsidP="002F0C19">
      <w:pPr>
        <w:pStyle w:val="Listaszerbekezds"/>
        <w:numPr>
          <w:ilvl w:val="0"/>
          <w:numId w:val="27"/>
        </w:numPr>
        <w:ind w:left="426" w:hanging="426"/>
        <w:jc w:val="both"/>
        <w:rPr>
          <w:b/>
        </w:rPr>
      </w:pPr>
      <w:bookmarkStart w:id="2" w:name="_Hlk139895748"/>
      <w:r w:rsidRPr="002F0C19">
        <w:rPr>
          <w:b/>
        </w:rPr>
        <w:t>számú melléklet</w:t>
      </w:r>
    </w:p>
    <w:p w:rsidR="001A66C8" w:rsidRPr="00B93992" w:rsidRDefault="001A66C8" w:rsidP="001A66C8">
      <w:pPr>
        <w:jc w:val="center"/>
      </w:pPr>
      <w:r w:rsidRPr="00B93992">
        <w:t xml:space="preserve">Salgótarján, </w:t>
      </w:r>
      <w:r w:rsidR="00AE4901">
        <w:t>Frankel Leó út 62</w:t>
      </w:r>
      <w:r w:rsidR="008A5FD5">
        <w:t>.</w:t>
      </w:r>
    </w:p>
    <w:p w:rsidR="001A66C8" w:rsidRPr="00B93992" w:rsidRDefault="00AE4901" w:rsidP="001A66C8">
      <w:pPr>
        <w:jc w:val="center"/>
      </w:pPr>
      <w:r>
        <w:t>119</w:t>
      </w:r>
      <w:r w:rsidR="001A66C8" w:rsidRPr="00B93992">
        <w:t xml:space="preserve"> hrsz.</w:t>
      </w:r>
      <w:bookmarkEnd w:id="2"/>
    </w:p>
    <w:p w:rsidR="001A66C8" w:rsidRDefault="00A22F52" w:rsidP="001B4A9C">
      <w:pPr>
        <w:jc w:val="center"/>
      </w:pPr>
      <w:r>
        <w:rPr>
          <w:noProof/>
        </w:rPr>
        <w:drawing>
          <wp:inline distT="0" distB="0" distL="0" distR="0">
            <wp:extent cx="6192520" cy="442023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kivágás.PNG"/>
                    <pic:cNvPicPr/>
                  </pic:nvPicPr>
                  <pic:blipFill>
                    <a:blip r:embed="rId7">
                      <a:extLst>
                        <a:ext uri="{28A0092B-C50C-407E-A947-70E740481C1C}">
                          <a14:useLocalDpi xmlns:a14="http://schemas.microsoft.com/office/drawing/2010/main" val="0"/>
                        </a:ext>
                      </a:extLst>
                    </a:blip>
                    <a:stretch>
                      <a:fillRect/>
                    </a:stretch>
                  </pic:blipFill>
                  <pic:spPr>
                    <a:xfrm>
                      <a:off x="0" y="0"/>
                      <a:ext cx="6192520" cy="4420235"/>
                    </a:xfrm>
                    <a:prstGeom prst="rect">
                      <a:avLst/>
                    </a:prstGeom>
                  </pic:spPr>
                </pic:pic>
              </a:graphicData>
            </a:graphic>
          </wp:inline>
        </w:drawing>
      </w:r>
    </w:p>
    <w:p w:rsidR="006936BF" w:rsidRPr="00B93992" w:rsidRDefault="006B1BF7" w:rsidP="002B4927">
      <w:pPr>
        <w:jc w:val="center"/>
      </w:pPr>
      <w:r>
        <w:t>Szabályozási tervlap</w:t>
      </w:r>
      <w:r w:rsidR="006936BF" w:rsidRPr="00B93992">
        <w:t xml:space="preserve"> kivonat</w:t>
      </w:r>
    </w:p>
    <w:p w:rsidR="004E3709" w:rsidRDefault="004E3709" w:rsidP="001A66C8">
      <w:pPr>
        <w:jc w:val="both"/>
      </w:pPr>
    </w:p>
    <w:p w:rsidR="00D20A4E" w:rsidRDefault="006B1BF7" w:rsidP="001B4A9C">
      <w:pPr>
        <w:jc w:val="center"/>
      </w:pPr>
      <w:r>
        <w:rPr>
          <w:noProof/>
        </w:rPr>
        <w:drawing>
          <wp:inline distT="0" distB="0" distL="0" distR="0" wp14:anchorId="2EF8F2B6" wp14:editId="52C6AF35">
            <wp:extent cx="5230674" cy="3482340"/>
            <wp:effectExtent l="0" t="0" r="8255"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8811" cy="3541018"/>
                    </a:xfrm>
                    <a:prstGeom prst="rect">
                      <a:avLst/>
                    </a:prstGeom>
                  </pic:spPr>
                </pic:pic>
              </a:graphicData>
            </a:graphic>
          </wp:inline>
        </w:drawing>
      </w:r>
    </w:p>
    <w:p w:rsidR="00D20A4E" w:rsidRDefault="00D20A4E" w:rsidP="001A66C8">
      <w:pPr>
        <w:jc w:val="both"/>
      </w:pPr>
    </w:p>
    <w:p w:rsidR="001B4A9C" w:rsidRDefault="006B1BF7" w:rsidP="001B4A9C">
      <w:pPr>
        <w:jc w:val="center"/>
      </w:pPr>
      <w:r>
        <w:t>E-közmű</w:t>
      </w:r>
      <w:r w:rsidR="001B4A9C" w:rsidRPr="00B93992">
        <w:t xml:space="preserve"> térkép kivonat</w:t>
      </w:r>
    </w:p>
    <w:p w:rsidR="002F0C19" w:rsidRDefault="002F0C19" w:rsidP="002F0C19"/>
    <w:p w:rsidR="002F0C19" w:rsidRPr="00B93992" w:rsidRDefault="002F0C19" w:rsidP="002F0C19"/>
    <w:p w:rsidR="000A21DB" w:rsidRPr="002F0C19" w:rsidRDefault="000A21DB" w:rsidP="002F0C19">
      <w:pPr>
        <w:pStyle w:val="Listaszerbekezds"/>
        <w:numPr>
          <w:ilvl w:val="0"/>
          <w:numId w:val="27"/>
        </w:numPr>
        <w:ind w:left="426" w:hanging="426"/>
        <w:jc w:val="both"/>
        <w:rPr>
          <w:b/>
        </w:rPr>
      </w:pPr>
      <w:r w:rsidRPr="002F0C19">
        <w:rPr>
          <w:b/>
        </w:rPr>
        <w:t>számú melléklet</w:t>
      </w:r>
    </w:p>
    <w:p w:rsidR="000A21DB" w:rsidRPr="00B93992" w:rsidRDefault="000A21DB" w:rsidP="000A21DB">
      <w:pPr>
        <w:jc w:val="center"/>
      </w:pPr>
      <w:r w:rsidRPr="00B93992">
        <w:t xml:space="preserve">Salgótarján, </w:t>
      </w:r>
      <w:r w:rsidR="00B25411">
        <w:t>Újakna</w:t>
      </w:r>
      <w:r w:rsidR="0049466E">
        <w:t>i</w:t>
      </w:r>
      <w:r w:rsidR="00B25411">
        <w:t xml:space="preserve"> út 35/A, 35/B, 33/B</w:t>
      </w:r>
    </w:p>
    <w:p w:rsidR="000A21DB" w:rsidRDefault="00B25411" w:rsidP="000A21DB">
      <w:pPr>
        <w:jc w:val="center"/>
      </w:pPr>
      <w:r>
        <w:t>5162/9, 5162/10, 5162/11</w:t>
      </w:r>
      <w:r w:rsidR="000A21DB" w:rsidRPr="00B93992">
        <w:t xml:space="preserve"> hrsz.</w:t>
      </w:r>
    </w:p>
    <w:p w:rsidR="00A44950" w:rsidRDefault="00B25411" w:rsidP="00A44950">
      <w:pPr>
        <w:jc w:val="center"/>
      </w:pPr>
      <w:r>
        <w:rPr>
          <w:noProof/>
        </w:rPr>
        <w:drawing>
          <wp:inline distT="0" distB="0" distL="0" distR="0">
            <wp:extent cx="5390985" cy="4063693"/>
            <wp:effectExtent l="0" t="0" r="63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épkivágás.PNG"/>
                    <pic:cNvPicPr/>
                  </pic:nvPicPr>
                  <pic:blipFill>
                    <a:blip r:embed="rId9">
                      <a:extLst>
                        <a:ext uri="{28A0092B-C50C-407E-A947-70E740481C1C}">
                          <a14:useLocalDpi xmlns:a14="http://schemas.microsoft.com/office/drawing/2010/main" val="0"/>
                        </a:ext>
                      </a:extLst>
                    </a:blip>
                    <a:stretch>
                      <a:fillRect/>
                    </a:stretch>
                  </pic:blipFill>
                  <pic:spPr>
                    <a:xfrm>
                      <a:off x="0" y="0"/>
                      <a:ext cx="5419740" cy="4085368"/>
                    </a:xfrm>
                    <a:prstGeom prst="rect">
                      <a:avLst/>
                    </a:prstGeom>
                  </pic:spPr>
                </pic:pic>
              </a:graphicData>
            </a:graphic>
          </wp:inline>
        </w:drawing>
      </w:r>
    </w:p>
    <w:p w:rsidR="00B25411" w:rsidRPr="00B93992" w:rsidRDefault="00B25411" w:rsidP="00B25411">
      <w:pPr>
        <w:jc w:val="center"/>
      </w:pPr>
      <w:r>
        <w:t>Szabályozási tervlap</w:t>
      </w:r>
      <w:r w:rsidRPr="00B93992">
        <w:t xml:space="preserve"> kivonat</w:t>
      </w:r>
    </w:p>
    <w:p w:rsidR="00B25411" w:rsidRDefault="00B25411" w:rsidP="002F0C19"/>
    <w:p w:rsidR="002F0C19" w:rsidRDefault="00B25411" w:rsidP="002F0C19">
      <w:pPr>
        <w:jc w:val="center"/>
      </w:pPr>
      <w:r>
        <w:rPr>
          <w:noProof/>
        </w:rPr>
        <w:drawing>
          <wp:inline distT="0" distB="0" distL="0" distR="0" wp14:anchorId="439A1913" wp14:editId="1276A966">
            <wp:extent cx="4667416" cy="4070330"/>
            <wp:effectExtent l="0" t="0" r="0" b="698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7022" cy="4096149"/>
                    </a:xfrm>
                    <a:prstGeom prst="rect">
                      <a:avLst/>
                    </a:prstGeom>
                  </pic:spPr>
                </pic:pic>
              </a:graphicData>
            </a:graphic>
          </wp:inline>
        </w:drawing>
      </w:r>
    </w:p>
    <w:p w:rsidR="00B25411" w:rsidRDefault="00B25411" w:rsidP="00B25411">
      <w:pPr>
        <w:jc w:val="center"/>
      </w:pPr>
      <w:r>
        <w:t>E-közmű</w:t>
      </w:r>
      <w:r w:rsidRPr="00B93992">
        <w:t xml:space="preserve"> térkép kivonat</w:t>
      </w:r>
    </w:p>
    <w:p w:rsidR="002F0C19" w:rsidRDefault="002F0C19" w:rsidP="002F0C19">
      <w:pPr>
        <w:jc w:val="both"/>
      </w:pPr>
    </w:p>
    <w:p w:rsidR="006446BE" w:rsidRPr="001333EB" w:rsidRDefault="006446BE" w:rsidP="006446BE">
      <w:pPr>
        <w:pStyle w:val="Cm"/>
        <w:numPr>
          <w:ilvl w:val="0"/>
          <w:numId w:val="4"/>
        </w:numPr>
        <w:rPr>
          <w:szCs w:val="28"/>
        </w:rPr>
      </w:pPr>
      <w:r w:rsidRPr="001333EB">
        <w:rPr>
          <w:szCs w:val="28"/>
        </w:rPr>
        <w:t>Pályázati feltételek, a pályázati eljárás szabályai</w:t>
      </w:r>
    </w:p>
    <w:p w:rsidR="006446BE" w:rsidRPr="001333EB" w:rsidRDefault="006446BE" w:rsidP="006446BE">
      <w:pPr>
        <w:jc w:val="both"/>
      </w:pPr>
    </w:p>
    <w:p w:rsidR="00787231" w:rsidRDefault="00787231" w:rsidP="00787231">
      <w:pPr>
        <w:jc w:val="both"/>
      </w:pPr>
      <w:r>
        <w:t xml:space="preserve">Az ingatlanok minimális vételára piaci alapon meghatározott forgalmi érték figyelembevételével került megállapításra, melyet Salgótarján Megyei Jogú Város Önkormányzatának Közgyűlése a </w:t>
      </w:r>
      <w:r w:rsidR="0072030F">
        <w:t>91</w:t>
      </w:r>
      <w:r>
        <w:t>/2023.(V</w:t>
      </w:r>
      <w:r w:rsidR="0072030F">
        <w:t>I</w:t>
      </w:r>
      <w:r>
        <w:t>.2</w:t>
      </w:r>
      <w:r w:rsidR="0072030F">
        <w:t>7</w:t>
      </w:r>
      <w:r>
        <w:t>.) számú határozatával jóváhagyott.</w:t>
      </w:r>
    </w:p>
    <w:p w:rsidR="00787231" w:rsidRDefault="00787231" w:rsidP="00787231">
      <w:pPr>
        <w:jc w:val="both"/>
      </w:pPr>
    </w:p>
    <w:p w:rsidR="00787231" w:rsidRDefault="00787231" w:rsidP="00787231">
      <w:pPr>
        <w:spacing w:after="120"/>
        <w:jc w:val="both"/>
      </w:pPr>
      <w:r>
        <w:t>Eladásra kínált ingatlanok minimális vételára:</w:t>
      </w:r>
    </w:p>
    <w:tbl>
      <w:tblPr>
        <w:tblStyle w:val="Rcsostblzat"/>
        <w:tblW w:w="7792" w:type="dxa"/>
        <w:jc w:val="center"/>
        <w:tblLayout w:type="fixed"/>
        <w:tblLook w:val="04A0" w:firstRow="1" w:lastRow="0" w:firstColumn="1" w:lastColumn="0" w:noHBand="0" w:noVBand="1"/>
      </w:tblPr>
      <w:tblGrid>
        <w:gridCol w:w="1129"/>
        <w:gridCol w:w="2127"/>
        <w:gridCol w:w="1842"/>
        <w:gridCol w:w="2694"/>
      </w:tblGrid>
      <w:tr w:rsidR="00A77021" w:rsidRPr="00F63BF5" w:rsidTr="00E05217">
        <w:trPr>
          <w:jc w:val="center"/>
        </w:trPr>
        <w:tc>
          <w:tcPr>
            <w:tcW w:w="1129" w:type="dxa"/>
            <w:shd w:val="clear" w:color="auto" w:fill="D9D9D9" w:themeFill="background1" w:themeFillShade="D9"/>
            <w:vAlign w:val="center"/>
          </w:tcPr>
          <w:p w:rsidR="00A77021" w:rsidRPr="00F63BF5" w:rsidRDefault="00A77021" w:rsidP="00A77021">
            <w:pPr>
              <w:jc w:val="center"/>
              <w:rPr>
                <w:b/>
              </w:rPr>
            </w:pPr>
            <w:r w:rsidRPr="00235F96">
              <w:rPr>
                <w:b/>
              </w:rPr>
              <w:t>Sorszám</w:t>
            </w:r>
          </w:p>
        </w:tc>
        <w:tc>
          <w:tcPr>
            <w:tcW w:w="2127" w:type="dxa"/>
            <w:shd w:val="clear" w:color="auto" w:fill="D9D9D9" w:themeFill="background1" w:themeFillShade="D9"/>
            <w:vAlign w:val="center"/>
          </w:tcPr>
          <w:p w:rsidR="00A77021" w:rsidRPr="00F63BF5" w:rsidRDefault="00A77021" w:rsidP="00A77021">
            <w:pPr>
              <w:jc w:val="center"/>
              <w:rPr>
                <w:b/>
              </w:rPr>
            </w:pPr>
            <w:r w:rsidRPr="00F63BF5">
              <w:rPr>
                <w:b/>
              </w:rPr>
              <w:t>Ingatlan címe</w:t>
            </w:r>
            <w:r>
              <w:rPr>
                <w:b/>
              </w:rPr>
              <w:t>: Salgótarján</w:t>
            </w:r>
          </w:p>
        </w:tc>
        <w:tc>
          <w:tcPr>
            <w:tcW w:w="1842" w:type="dxa"/>
            <w:shd w:val="clear" w:color="auto" w:fill="D9D9D9" w:themeFill="background1" w:themeFillShade="D9"/>
            <w:vAlign w:val="center"/>
          </w:tcPr>
          <w:p w:rsidR="00A77021" w:rsidRPr="00F63BF5" w:rsidRDefault="00A77021" w:rsidP="00A77021">
            <w:pPr>
              <w:jc w:val="center"/>
              <w:rPr>
                <w:b/>
              </w:rPr>
            </w:pPr>
            <w:r w:rsidRPr="00F63BF5">
              <w:rPr>
                <w:b/>
              </w:rPr>
              <w:t>Ingatlan</w:t>
            </w:r>
            <w:r>
              <w:rPr>
                <w:b/>
              </w:rPr>
              <w:t xml:space="preserve"> h</w:t>
            </w:r>
            <w:r w:rsidRPr="00F63BF5">
              <w:rPr>
                <w:b/>
              </w:rPr>
              <w:t>elyrajzi száma</w:t>
            </w:r>
          </w:p>
        </w:tc>
        <w:tc>
          <w:tcPr>
            <w:tcW w:w="2694" w:type="dxa"/>
            <w:shd w:val="clear" w:color="auto" w:fill="D9D9D9" w:themeFill="background1" w:themeFillShade="D9"/>
            <w:vAlign w:val="center"/>
          </w:tcPr>
          <w:p w:rsidR="00A77021" w:rsidRPr="00F63BF5" w:rsidRDefault="00A77021" w:rsidP="00A77021">
            <w:pPr>
              <w:jc w:val="center"/>
              <w:rPr>
                <w:b/>
              </w:rPr>
            </w:pPr>
            <w:r w:rsidRPr="00F63BF5">
              <w:rPr>
                <w:b/>
              </w:rPr>
              <w:t>Induló vételár</w:t>
            </w:r>
          </w:p>
          <w:p w:rsidR="00A77021" w:rsidRPr="00F63BF5" w:rsidRDefault="00A77021" w:rsidP="00A77021">
            <w:pPr>
              <w:jc w:val="center"/>
              <w:rPr>
                <w:b/>
              </w:rPr>
            </w:pPr>
            <w:r>
              <w:rPr>
                <w:b/>
              </w:rPr>
              <w:t>(</w:t>
            </w:r>
            <w:r w:rsidRPr="00F63BF5">
              <w:rPr>
                <w:b/>
              </w:rPr>
              <w:t>Ft</w:t>
            </w:r>
            <w:r>
              <w:rPr>
                <w:b/>
              </w:rPr>
              <w:t>)</w:t>
            </w:r>
          </w:p>
        </w:tc>
      </w:tr>
      <w:tr w:rsidR="00A77021" w:rsidRPr="0096736A" w:rsidTr="00E05217">
        <w:tblPrEx>
          <w:jc w:val="left"/>
        </w:tblPrEx>
        <w:tc>
          <w:tcPr>
            <w:tcW w:w="1129" w:type="dxa"/>
          </w:tcPr>
          <w:p w:rsidR="00A77021" w:rsidRDefault="00A77021" w:rsidP="00A77021">
            <w:pPr>
              <w:jc w:val="center"/>
            </w:pPr>
            <w:r>
              <w:t>1.</w:t>
            </w:r>
          </w:p>
        </w:tc>
        <w:tc>
          <w:tcPr>
            <w:tcW w:w="2127" w:type="dxa"/>
            <w:vAlign w:val="center"/>
          </w:tcPr>
          <w:p w:rsidR="00A77021" w:rsidRDefault="00A77021" w:rsidP="00A77021">
            <w:pPr>
              <w:jc w:val="center"/>
            </w:pPr>
            <w:r>
              <w:t>Frankel Leo út 62.</w:t>
            </w:r>
          </w:p>
        </w:tc>
        <w:tc>
          <w:tcPr>
            <w:tcW w:w="1842" w:type="dxa"/>
            <w:vAlign w:val="center"/>
          </w:tcPr>
          <w:p w:rsidR="00A77021" w:rsidRDefault="00A77021" w:rsidP="00A77021">
            <w:pPr>
              <w:jc w:val="center"/>
            </w:pPr>
            <w:r>
              <w:t>119</w:t>
            </w:r>
          </w:p>
        </w:tc>
        <w:tc>
          <w:tcPr>
            <w:tcW w:w="2694" w:type="dxa"/>
            <w:vAlign w:val="center"/>
          </w:tcPr>
          <w:p w:rsidR="00A77021" w:rsidRDefault="00A77021" w:rsidP="00A77021">
            <w:pPr>
              <w:jc w:val="center"/>
            </w:pPr>
            <w:r>
              <w:t xml:space="preserve">1.200.000.- Ft + </w:t>
            </w:r>
            <w:r w:rsidR="00AB7E99">
              <w:t>á</w:t>
            </w:r>
            <w:r>
              <w:t>fa</w:t>
            </w:r>
          </w:p>
        </w:tc>
      </w:tr>
      <w:tr w:rsidR="00A77021" w:rsidTr="00E05217">
        <w:tblPrEx>
          <w:jc w:val="left"/>
        </w:tblPrEx>
        <w:tc>
          <w:tcPr>
            <w:tcW w:w="1129" w:type="dxa"/>
          </w:tcPr>
          <w:p w:rsidR="00A77021" w:rsidRDefault="00A77021" w:rsidP="00A77021">
            <w:pPr>
              <w:jc w:val="center"/>
            </w:pPr>
            <w:r>
              <w:t>3.</w:t>
            </w:r>
          </w:p>
        </w:tc>
        <w:tc>
          <w:tcPr>
            <w:tcW w:w="2127" w:type="dxa"/>
            <w:vAlign w:val="center"/>
          </w:tcPr>
          <w:p w:rsidR="00A77021" w:rsidRDefault="00A77021" w:rsidP="00A77021">
            <w:pPr>
              <w:jc w:val="center"/>
            </w:pPr>
            <w:r>
              <w:t>Újaknai út 35/A.</w:t>
            </w:r>
          </w:p>
        </w:tc>
        <w:tc>
          <w:tcPr>
            <w:tcW w:w="1842" w:type="dxa"/>
            <w:vAlign w:val="center"/>
          </w:tcPr>
          <w:p w:rsidR="00A77021" w:rsidRDefault="00A77021" w:rsidP="00A77021">
            <w:pPr>
              <w:jc w:val="center"/>
            </w:pPr>
            <w:r>
              <w:t>5162/9</w:t>
            </w:r>
          </w:p>
        </w:tc>
        <w:tc>
          <w:tcPr>
            <w:tcW w:w="2694" w:type="dxa"/>
            <w:vAlign w:val="center"/>
          </w:tcPr>
          <w:p w:rsidR="00A77021" w:rsidRDefault="00A77021" w:rsidP="00A77021">
            <w:pPr>
              <w:jc w:val="center"/>
            </w:pPr>
            <w:r>
              <w:t>600.000.- Ft (áfamentes)</w:t>
            </w:r>
          </w:p>
        </w:tc>
      </w:tr>
      <w:tr w:rsidR="00A77021" w:rsidTr="00E05217">
        <w:tblPrEx>
          <w:jc w:val="left"/>
        </w:tblPrEx>
        <w:tc>
          <w:tcPr>
            <w:tcW w:w="1129" w:type="dxa"/>
          </w:tcPr>
          <w:p w:rsidR="00A77021" w:rsidRDefault="00A77021" w:rsidP="00A77021">
            <w:pPr>
              <w:jc w:val="center"/>
            </w:pPr>
            <w:r>
              <w:t>4.</w:t>
            </w:r>
          </w:p>
        </w:tc>
        <w:tc>
          <w:tcPr>
            <w:tcW w:w="2127" w:type="dxa"/>
            <w:vAlign w:val="center"/>
          </w:tcPr>
          <w:p w:rsidR="00A77021" w:rsidRDefault="00A77021" w:rsidP="00A77021">
            <w:pPr>
              <w:jc w:val="center"/>
            </w:pPr>
            <w:r>
              <w:t>Újaknai út 35/B.</w:t>
            </w:r>
          </w:p>
        </w:tc>
        <w:tc>
          <w:tcPr>
            <w:tcW w:w="1842" w:type="dxa"/>
            <w:vAlign w:val="center"/>
          </w:tcPr>
          <w:p w:rsidR="00A77021" w:rsidRDefault="00A77021" w:rsidP="00A77021">
            <w:pPr>
              <w:jc w:val="center"/>
            </w:pPr>
            <w:r>
              <w:t>5162/10</w:t>
            </w:r>
          </w:p>
        </w:tc>
        <w:tc>
          <w:tcPr>
            <w:tcW w:w="2694" w:type="dxa"/>
            <w:vAlign w:val="center"/>
          </w:tcPr>
          <w:p w:rsidR="00A77021" w:rsidRDefault="00A77021" w:rsidP="00A77021">
            <w:pPr>
              <w:jc w:val="center"/>
            </w:pPr>
            <w:r>
              <w:t xml:space="preserve">5.800.000.- Ft + </w:t>
            </w:r>
            <w:r w:rsidR="00AB7E99">
              <w:t>á</w:t>
            </w:r>
            <w:r>
              <w:t>fa</w:t>
            </w:r>
          </w:p>
        </w:tc>
      </w:tr>
      <w:tr w:rsidR="00A77021" w:rsidTr="00E05217">
        <w:tblPrEx>
          <w:jc w:val="left"/>
        </w:tblPrEx>
        <w:tc>
          <w:tcPr>
            <w:tcW w:w="1129" w:type="dxa"/>
          </w:tcPr>
          <w:p w:rsidR="00A77021" w:rsidRDefault="00A77021" w:rsidP="00A77021">
            <w:pPr>
              <w:jc w:val="center"/>
            </w:pPr>
            <w:r>
              <w:t>5.</w:t>
            </w:r>
          </w:p>
        </w:tc>
        <w:tc>
          <w:tcPr>
            <w:tcW w:w="2127" w:type="dxa"/>
            <w:vAlign w:val="center"/>
          </w:tcPr>
          <w:p w:rsidR="00A77021" w:rsidRDefault="00A77021" w:rsidP="00A77021">
            <w:pPr>
              <w:jc w:val="center"/>
            </w:pPr>
            <w:r>
              <w:t>Újaknai út 33/B.</w:t>
            </w:r>
          </w:p>
        </w:tc>
        <w:tc>
          <w:tcPr>
            <w:tcW w:w="1842" w:type="dxa"/>
            <w:vAlign w:val="center"/>
          </w:tcPr>
          <w:p w:rsidR="00A77021" w:rsidRDefault="00A77021" w:rsidP="00A77021">
            <w:pPr>
              <w:jc w:val="center"/>
            </w:pPr>
            <w:r>
              <w:t>5162/11</w:t>
            </w:r>
          </w:p>
        </w:tc>
        <w:tc>
          <w:tcPr>
            <w:tcW w:w="2694" w:type="dxa"/>
            <w:vAlign w:val="center"/>
          </w:tcPr>
          <w:p w:rsidR="00A77021" w:rsidRDefault="00A77021" w:rsidP="00A77021">
            <w:pPr>
              <w:jc w:val="center"/>
            </w:pPr>
            <w:r>
              <w:t xml:space="preserve">1.800.000.- Ft + </w:t>
            </w:r>
            <w:r w:rsidR="00AB7E99">
              <w:t>á</w:t>
            </w:r>
            <w:r>
              <w:t>fa</w:t>
            </w:r>
          </w:p>
        </w:tc>
      </w:tr>
    </w:tbl>
    <w:p w:rsidR="00A77021" w:rsidRDefault="00A77021" w:rsidP="00E05217">
      <w:pPr>
        <w:jc w:val="both"/>
      </w:pPr>
    </w:p>
    <w:p w:rsidR="00DD2D77" w:rsidRPr="001333EB" w:rsidRDefault="00DD2D77" w:rsidP="006446BE">
      <w:pPr>
        <w:jc w:val="both"/>
        <w:rPr>
          <w:b/>
        </w:rPr>
      </w:pPr>
      <w:r w:rsidRPr="001333EB">
        <w:t xml:space="preserve">Egy pályázó </w:t>
      </w:r>
      <w:r w:rsidR="00995BBF">
        <w:t>egy ingatlan</w:t>
      </w:r>
      <w:r w:rsidR="0033775E">
        <w:t>ra c</w:t>
      </w:r>
      <w:r w:rsidRPr="001333EB">
        <w:t>sak egy ajánlatot tehet!</w:t>
      </w:r>
    </w:p>
    <w:p w:rsidR="006446BE" w:rsidRPr="001333EB" w:rsidRDefault="006446BE" w:rsidP="006446BE">
      <w:pPr>
        <w:jc w:val="both"/>
      </w:pPr>
    </w:p>
    <w:p w:rsidR="0029178C" w:rsidRPr="0033775E" w:rsidRDefault="006446BE" w:rsidP="006446BE">
      <w:pPr>
        <w:jc w:val="both"/>
        <w:rPr>
          <w:b/>
        </w:rPr>
      </w:pPr>
      <w:r w:rsidRPr="0033775E">
        <w:rPr>
          <w:b/>
        </w:rPr>
        <w:t xml:space="preserve">Az ajánlattevők ajánlataikat </w:t>
      </w:r>
      <w:r w:rsidR="0029178C" w:rsidRPr="0033775E">
        <w:t>(pályázati adatlap)</w:t>
      </w:r>
      <w:r w:rsidR="0029178C" w:rsidRPr="0033775E">
        <w:rPr>
          <w:b/>
        </w:rPr>
        <w:t xml:space="preserve"> </w:t>
      </w:r>
      <w:r w:rsidRPr="0033775E">
        <w:rPr>
          <w:b/>
        </w:rPr>
        <w:t>zárt</w:t>
      </w:r>
      <w:r w:rsidR="0029178C" w:rsidRPr="0033775E">
        <w:t xml:space="preserve"> </w:t>
      </w:r>
      <w:r w:rsidRPr="0033775E">
        <w:rPr>
          <w:b/>
        </w:rPr>
        <w:t>borítékban, 2 példányban</w:t>
      </w:r>
      <w:r w:rsidRPr="0033775E">
        <w:t xml:space="preserve"> - amelyből egy példányt</w:t>
      </w:r>
      <w:r w:rsidRPr="0033775E">
        <w:rPr>
          <w:sz w:val="20"/>
        </w:rPr>
        <w:t xml:space="preserve"> </w:t>
      </w:r>
      <w:r w:rsidRPr="0033775E">
        <w:t xml:space="preserve">minden oldalon eredetiben cégszerű aláírással, magánszemélyeknél eredeti aláírással, illetve a meghatalmazott aláírásával ellátva, további példányt az eredetiről készült másolatban – </w:t>
      </w:r>
      <w:r w:rsidRPr="0033775E">
        <w:rPr>
          <w:b/>
        </w:rPr>
        <w:t>nyújthatják be 20</w:t>
      </w:r>
      <w:r w:rsidR="00853377" w:rsidRPr="0033775E">
        <w:rPr>
          <w:b/>
        </w:rPr>
        <w:t>2</w:t>
      </w:r>
      <w:r w:rsidR="00E05217">
        <w:rPr>
          <w:b/>
        </w:rPr>
        <w:t>4</w:t>
      </w:r>
      <w:r w:rsidRPr="0033775E">
        <w:rPr>
          <w:b/>
        </w:rPr>
        <w:t xml:space="preserve">. </w:t>
      </w:r>
      <w:r w:rsidR="00E05217">
        <w:rPr>
          <w:b/>
        </w:rPr>
        <w:t>február 12</w:t>
      </w:r>
      <w:r w:rsidR="00FD72FB" w:rsidRPr="00E60090">
        <w:rPr>
          <w:b/>
        </w:rPr>
        <w:t>.</w:t>
      </w:r>
      <w:r w:rsidR="0029178C" w:rsidRPr="0033775E">
        <w:rPr>
          <w:b/>
        </w:rPr>
        <w:t xml:space="preserve"> napján</w:t>
      </w:r>
      <w:r w:rsidRPr="0033775E">
        <w:rPr>
          <w:b/>
        </w:rPr>
        <w:t xml:space="preserve"> 12:00 óráig</w:t>
      </w:r>
      <w:r w:rsidR="0029178C" w:rsidRPr="0033775E">
        <w:rPr>
          <w:b/>
        </w:rPr>
        <w:t>.</w:t>
      </w:r>
    </w:p>
    <w:p w:rsidR="0029178C" w:rsidRPr="0033775E" w:rsidRDefault="0029178C" w:rsidP="006446BE">
      <w:pPr>
        <w:jc w:val="both"/>
        <w:rPr>
          <w:b/>
        </w:rPr>
      </w:pPr>
      <w:r w:rsidRPr="0033775E">
        <w:rPr>
          <w:b/>
        </w:rPr>
        <w:t>A pályázat benyújtása történhet:</w:t>
      </w:r>
    </w:p>
    <w:p w:rsidR="006446BE" w:rsidRPr="0033775E" w:rsidRDefault="006446BE" w:rsidP="00EB60C7">
      <w:pPr>
        <w:pStyle w:val="Listaszerbekezds"/>
        <w:numPr>
          <w:ilvl w:val="0"/>
          <w:numId w:val="16"/>
        </w:numPr>
        <w:spacing w:after="120"/>
        <w:ind w:left="426" w:hanging="284"/>
        <w:contextualSpacing w:val="0"/>
        <w:jc w:val="both"/>
      </w:pPr>
      <w:r w:rsidRPr="0033775E">
        <w:rPr>
          <w:b/>
        </w:rPr>
        <w:t>személyesen a kiíró székhelyén</w:t>
      </w:r>
      <w:r w:rsidRPr="0033775E">
        <w:t xml:space="preserve"> (310</w:t>
      </w:r>
      <w:r w:rsidR="00575AD1" w:rsidRPr="0033775E">
        <w:t>0</w:t>
      </w:r>
      <w:r w:rsidRPr="0033775E">
        <w:t xml:space="preserve"> Salgótarján, </w:t>
      </w:r>
      <w:r w:rsidR="00575AD1" w:rsidRPr="0033775E">
        <w:t>Munkásotthon tér 1</w:t>
      </w:r>
      <w:r w:rsidRPr="0033775E">
        <w:t xml:space="preserve">. Titkárságán /Hétfőtől-Csütörtökig: 9:00 – 15:00, </w:t>
      </w:r>
      <w:proofErr w:type="gramStart"/>
      <w:r w:rsidRPr="0033775E">
        <w:t>Péntek</w:t>
      </w:r>
      <w:proofErr w:type="gramEnd"/>
      <w:r w:rsidRPr="0033775E">
        <w:t>: 9:00 – 13:00)</w:t>
      </w:r>
      <w:r w:rsidR="0029178C" w:rsidRPr="0033775E">
        <w:t xml:space="preserve"> zárt borítékban, a borítékon csak a vétellel megpályázott ingatlan címe szerepelhet</w:t>
      </w:r>
      <w:r w:rsidR="0033775E">
        <w:t xml:space="preserve"> az alábbiak szerint</w:t>
      </w:r>
      <w:r w:rsidR="0029178C" w:rsidRPr="0033775E">
        <w:t>:</w:t>
      </w:r>
    </w:p>
    <w:p w:rsidR="0033775E" w:rsidRPr="0033775E" w:rsidRDefault="0033775E" w:rsidP="0033775E">
      <w:pPr>
        <w:pStyle w:val="Listaszerbekezds"/>
        <w:numPr>
          <w:ilvl w:val="0"/>
          <w:numId w:val="16"/>
        </w:numPr>
        <w:spacing w:after="120"/>
        <w:contextualSpacing w:val="0"/>
        <w:jc w:val="center"/>
        <w:rPr>
          <w:b/>
          <w:i/>
        </w:rPr>
      </w:pPr>
      <w:r w:rsidRPr="0033775E">
        <w:rPr>
          <w:b/>
          <w:i/>
        </w:rPr>
        <w:t>3102 Salgótarján, Frankel Leó út 62.</w:t>
      </w:r>
    </w:p>
    <w:p w:rsidR="0033775E" w:rsidRPr="0033775E" w:rsidRDefault="0033775E" w:rsidP="0033775E">
      <w:pPr>
        <w:pStyle w:val="Listaszerbekezds"/>
        <w:numPr>
          <w:ilvl w:val="0"/>
          <w:numId w:val="16"/>
        </w:numPr>
        <w:spacing w:after="120"/>
        <w:contextualSpacing w:val="0"/>
        <w:jc w:val="center"/>
        <w:rPr>
          <w:b/>
          <w:i/>
        </w:rPr>
      </w:pPr>
      <w:r w:rsidRPr="0033775E">
        <w:rPr>
          <w:b/>
          <w:i/>
        </w:rPr>
        <w:t>Újakna</w:t>
      </w:r>
      <w:r w:rsidR="0049466E">
        <w:rPr>
          <w:b/>
          <w:i/>
        </w:rPr>
        <w:t>i</w:t>
      </w:r>
      <w:r w:rsidRPr="0033775E">
        <w:rPr>
          <w:b/>
          <w:i/>
        </w:rPr>
        <w:t xml:space="preserve"> út 35/A.</w:t>
      </w:r>
    </w:p>
    <w:p w:rsidR="0033775E" w:rsidRPr="0033775E" w:rsidRDefault="0033775E" w:rsidP="0033775E">
      <w:pPr>
        <w:pStyle w:val="Listaszerbekezds"/>
        <w:numPr>
          <w:ilvl w:val="0"/>
          <w:numId w:val="16"/>
        </w:numPr>
        <w:spacing w:after="120"/>
        <w:contextualSpacing w:val="0"/>
        <w:jc w:val="center"/>
        <w:rPr>
          <w:b/>
          <w:i/>
        </w:rPr>
      </w:pPr>
      <w:r w:rsidRPr="0033775E">
        <w:rPr>
          <w:b/>
          <w:i/>
        </w:rPr>
        <w:t>Újakna</w:t>
      </w:r>
      <w:r w:rsidR="0049466E">
        <w:rPr>
          <w:b/>
          <w:i/>
        </w:rPr>
        <w:t>i</w:t>
      </w:r>
      <w:r w:rsidRPr="0033775E">
        <w:rPr>
          <w:b/>
          <w:i/>
        </w:rPr>
        <w:t xml:space="preserve"> út 35/B</w:t>
      </w:r>
      <w:r w:rsidR="00B70BFB">
        <w:rPr>
          <w:b/>
          <w:i/>
        </w:rPr>
        <w:t>.</w:t>
      </w:r>
    </w:p>
    <w:p w:rsidR="0033775E" w:rsidRPr="00E05217" w:rsidRDefault="0033775E" w:rsidP="00E05217">
      <w:pPr>
        <w:pStyle w:val="Listaszerbekezds"/>
        <w:numPr>
          <w:ilvl w:val="0"/>
          <w:numId w:val="16"/>
        </w:numPr>
        <w:spacing w:after="120"/>
        <w:contextualSpacing w:val="0"/>
        <w:jc w:val="center"/>
        <w:rPr>
          <w:b/>
          <w:i/>
        </w:rPr>
      </w:pPr>
      <w:r w:rsidRPr="0033775E">
        <w:rPr>
          <w:b/>
          <w:i/>
        </w:rPr>
        <w:t>Újakna</w:t>
      </w:r>
      <w:r w:rsidR="0049466E">
        <w:rPr>
          <w:b/>
          <w:i/>
        </w:rPr>
        <w:t>i</w:t>
      </w:r>
      <w:r w:rsidRPr="0033775E">
        <w:rPr>
          <w:b/>
          <w:i/>
        </w:rPr>
        <w:t xml:space="preserve"> út 33/B</w:t>
      </w:r>
      <w:r w:rsidR="00B70BFB">
        <w:rPr>
          <w:b/>
          <w:i/>
        </w:rPr>
        <w:t>.</w:t>
      </w:r>
    </w:p>
    <w:p w:rsidR="0029178C" w:rsidRPr="0033775E" w:rsidRDefault="0029178C" w:rsidP="00EB60C7">
      <w:pPr>
        <w:pStyle w:val="Listaszerbekezds"/>
        <w:numPr>
          <w:ilvl w:val="0"/>
          <w:numId w:val="16"/>
        </w:numPr>
        <w:spacing w:after="120"/>
        <w:ind w:left="426" w:hanging="284"/>
        <w:contextualSpacing w:val="0"/>
        <w:jc w:val="both"/>
      </w:pPr>
      <w:r w:rsidRPr="0033775E">
        <w:rPr>
          <w:b/>
        </w:rPr>
        <w:t>postai úton tértivevényes küldeményként</w:t>
      </w:r>
      <w:r w:rsidRPr="0033775E">
        <w:t>, a következő névre és címre:</w:t>
      </w:r>
    </w:p>
    <w:p w:rsidR="0029178C" w:rsidRPr="0033775E" w:rsidRDefault="0029178C" w:rsidP="0029178C">
      <w:pPr>
        <w:jc w:val="center"/>
        <w:rPr>
          <w:b/>
          <w:i/>
        </w:rPr>
      </w:pPr>
      <w:r w:rsidRPr="0033775E">
        <w:rPr>
          <w:b/>
          <w:i/>
        </w:rPr>
        <w:t>SALGÓ VAGYON KFT.</w:t>
      </w:r>
    </w:p>
    <w:p w:rsidR="0029178C" w:rsidRPr="0033775E" w:rsidRDefault="0029178C" w:rsidP="0029178C">
      <w:pPr>
        <w:spacing w:after="60"/>
        <w:jc w:val="center"/>
        <w:rPr>
          <w:b/>
          <w:i/>
        </w:rPr>
      </w:pPr>
      <w:r w:rsidRPr="0033775E">
        <w:rPr>
          <w:b/>
          <w:i/>
        </w:rPr>
        <w:t>(</w:t>
      </w:r>
      <w:r w:rsidR="00E60090">
        <w:rPr>
          <w:b/>
          <w:i/>
        </w:rPr>
        <w:t>………………………</w:t>
      </w:r>
      <w:proofErr w:type="gramStart"/>
      <w:r w:rsidR="00E60090">
        <w:rPr>
          <w:b/>
          <w:i/>
        </w:rPr>
        <w:t>…(</w:t>
      </w:r>
      <w:proofErr w:type="gramEnd"/>
      <w:r w:rsidR="00E60090">
        <w:rPr>
          <w:b/>
          <w:i/>
        </w:rPr>
        <w:t>az ingatlan címe)</w:t>
      </w:r>
      <w:r w:rsidRPr="0033775E">
        <w:rPr>
          <w:b/>
          <w:i/>
        </w:rPr>
        <w:t xml:space="preserve"> ingatlan pályázata)</w:t>
      </w:r>
    </w:p>
    <w:p w:rsidR="0029178C" w:rsidRPr="0033775E" w:rsidRDefault="0029178C" w:rsidP="0029178C">
      <w:pPr>
        <w:jc w:val="center"/>
        <w:rPr>
          <w:b/>
          <w:i/>
        </w:rPr>
      </w:pPr>
      <w:r w:rsidRPr="0033775E">
        <w:rPr>
          <w:b/>
          <w:i/>
        </w:rPr>
        <w:t>Salgótarján</w:t>
      </w:r>
    </w:p>
    <w:p w:rsidR="0029178C" w:rsidRPr="0033775E" w:rsidRDefault="001D3192" w:rsidP="0029178C">
      <w:pPr>
        <w:jc w:val="center"/>
        <w:rPr>
          <w:b/>
          <w:i/>
        </w:rPr>
      </w:pPr>
      <w:r w:rsidRPr="0033775E">
        <w:rPr>
          <w:b/>
          <w:i/>
        </w:rPr>
        <w:t>Munkásotthon tér 1</w:t>
      </w:r>
    </w:p>
    <w:p w:rsidR="0029178C" w:rsidRDefault="0029178C" w:rsidP="0029178C">
      <w:pPr>
        <w:jc w:val="center"/>
        <w:rPr>
          <w:b/>
          <w:i/>
        </w:rPr>
      </w:pPr>
      <w:r w:rsidRPr="0033775E">
        <w:rPr>
          <w:b/>
          <w:i/>
        </w:rPr>
        <w:t>310</w:t>
      </w:r>
      <w:r w:rsidR="001D3192" w:rsidRPr="0033775E">
        <w:rPr>
          <w:b/>
          <w:i/>
        </w:rPr>
        <w:t>0</w:t>
      </w:r>
    </w:p>
    <w:p w:rsidR="00FB7E3D" w:rsidRPr="00FB7E3D" w:rsidRDefault="00FB7E3D" w:rsidP="00FB7E3D">
      <w:pPr>
        <w:jc w:val="both"/>
      </w:pPr>
    </w:p>
    <w:p w:rsidR="006446BE" w:rsidRDefault="006446BE" w:rsidP="006446BE">
      <w:pPr>
        <w:jc w:val="both"/>
        <w:rPr>
          <w:bCs/>
        </w:rPr>
      </w:pPr>
      <w:r w:rsidRPr="00E60090">
        <w:rPr>
          <w:bCs/>
        </w:rPr>
        <w:t xml:space="preserve">A </w:t>
      </w:r>
      <w:r w:rsidR="0029178C" w:rsidRPr="00E60090">
        <w:rPr>
          <w:bCs/>
        </w:rPr>
        <w:t xml:space="preserve">személyesen </w:t>
      </w:r>
      <w:r w:rsidRPr="00E60090">
        <w:rPr>
          <w:bCs/>
        </w:rPr>
        <w:t xml:space="preserve">benyújtott pályázat átvételi elismervénnyel </w:t>
      </w:r>
      <w:r w:rsidR="0029178C" w:rsidRPr="00E60090">
        <w:rPr>
          <w:bCs/>
        </w:rPr>
        <w:t xml:space="preserve">(postai küldemény esetén tértivevénnyel) </w:t>
      </w:r>
      <w:r w:rsidRPr="00E60090">
        <w:rPr>
          <w:bCs/>
        </w:rPr>
        <w:t>kerül átvételre.</w:t>
      </w:r>
    </w:p>
    <w:p w:rsidR="00E05217" w:rsidRPr="00E60090" w:rsidRDefault="00E05217" w:rsidP="006446BE">
      <w:pPr>
        <w:jc w:val="both"/>
        <w:rPr>
          <w:bCs/>
        </w:rPr>
      </w:pPr>
    </w:p>
    <w:p w:rsidR="0022122D" w:rsidRPr="00E60090" w:rsidRDefault="0022122D" w:rsidP="006446BE">
      <w:pPr>
        <w:jc w:val="both"/>
        <w:rPr>
          <w:bCs/>
        </w:rPr>
      </w:pPr>
      <w:r w:rsidRPr="00E60090">
        <w:rPr>
          <w:b/>
          <w:bCs/>
        </w:rPr>
        <w:t xml:space="preserve">Kiíró felhívja az ajánlattevők figyelmét arra, hogy a postai úton küldött ajánlatok beérkezési ideje megegyezik a pályázat leadási </w:t>
      </w:r>
      <w:proofErr w:type="spellStart"/>
      <w:r w:rsidRPr="00E60090">
        <w:rPr>
          <w:b/>
          <w:bCs/>
        </w:rPr>
        <w:t>határidejével</w:t>
      </w:r>
      <w:proofErr w:type="spellEnd"/>
      <w:r w:rsidRPr="00E60090">
        <w:rPr>
          <w:b/>
          <w:bCs/>
        </w:rPr>
        <w:t>. A postai úton érkezett, határidőn túli pályázatokat kiíró nem fogadja be.</w:t>
      </w:r>
    </w:p>
    <w:p w:rsidR="00E15FA9" w:rsidRPr="00E60090" w:rsidRDefault="00E15FA9" w:rsidP="006446BE">
      <w:pPr>
        <w:jc w:val="both"/>
        <w:rPr>
          <w:bCs/>
        </w:rPr>
      </w:pPr>
    </w:p>
    <w:p w:rsidR="0049466E" w:rsidRPr="00E60090" w:rsidRDefault="0049466E" w:rsidP="006446BE">
      <w:pPr>
        <w:jc w:val="both"/>
        <w:rPr>
          <w:bCs/>
        </w:rPr>
      </w:pPr>
    </w:p>
    <w:p w:rsidR="00E15FA9" w:rsidRPr="00E60090" w:rsidRDefault="00E15FA9" w:rsidP="00E15FA9">
      <w:pPr>
        <w:spacing w:after="120"/>
        <w:jc w:val="both"/>
        <w:rPr>
          <w:b/>
          <w:u w:val="single"/>
        </w:rPr>
      </w:pPr>
      <w:r w:rsidRPr="00E60090">
        <w:rPr>
          <w:b/>
          <w:u w:val="single"/>
        </w:rPr>
        <w:t>Egyéb tudnivalók az ingatlan értékesítésére benyújtott pályázattal kapcsolatban:</w:t>
      </w:r>
    </w:p>
    <w:p w:rsidR="006446BE" w:rsidRPr="00E60090" w:rsidRDefault="0022122D" w:rsidP="006446BE">
      <w:pPr>
        <w:jc w:val="both"/>
      </w:pPr>
      <w:r w:rsidRPr="00E60090">
        <w:t xml:space="preserve">Amennyiben a pályázati adatlapot meghatalmazott írja alá, úgy köteles eredeti közokirattal vagy ügyvéd által ellenjegyzett teljes bizonyító </w:t>
      </w:r>
      <w:proofErr w:type="spellStart"/>
      <w:r w:rsidRPr="00E60090">
        <w:t>erejű</w:t>
      </w:r>
      <w:proofErr w:type="spellEnd"/>
      <w:r w:rsidRPr="00E60090">
        <w:t xml:space="preserve"> magánokirattal igazolni képviseleti jogosultságát, annak terjedelmét, illetve annak mértékét</w:t>
      </w:r>
      <w:r w:rsidR="00E15FA9" w:rsidRPr="00E60090">
        <w:t>.</w:t>
      </w:r>
    </w:p>
    <w:p w:rsidR="006446BE" w:rsidRPr="00E60090" w:rsidRDefault="006446BE" w:rsidP="006446BE">
      <w:pPr>
        <w:jc w:val="both"/>
      </w:pPr>
    </w:p>
    <w:p w:rsidR="00E15FA9" w:rsidRPr="00E60090" w:rsidRDefault="00E15FA9" w:rsidP="00E15FA9">
      <w:pPr>
        <w:jc w:val="both"/>
      </w:pPr>
      <w:r w:rsidRPr="00E60090">
        <w:lastRenderedPageBreak/>
        <w:t>Az ingatlan 1/1 tulajdonjogának vagy közös tulajdonjogának megszerzésétől függően, a megfelelő pályázati adatlapot szükséges kitölteni és benyújtani.</w:t>
      </w:r>
    </w:p>
    <w:p w:rsidR="00E15FA9" w:rsidRPr="00470870" w:rsidRDefault="00E15FA9" w:rsidP="00E15FA9">
      <w:pPr>
        <w:jc w:val="both"/>
      </w:pPr>
    </w:p>
    <w:p w:rsidR="00E15FA9" w:rsidRPr="00D46064" w:rsidRDefault="00E15FA9" w:rsidP="00E15FA9">
      <w:pPr>
        <w:jc w:val="both"/>
      </w:pPr>
      <w:r w:rsidRPr="00D46064">
        <w:t>Természetes személyként, cégként, illetve egyéni vállalkozóként lehet ajánlatot tenni.</w:t>
      </w:r>
    </w:p>
    <w:p w:rsidR="00E15FA9" w:rsidRPr="00D46064" w:rsidRDefault="00E15FA9" w:rsidP="00E15FA9">
      <w:pPr>
        <w:jc w:val="both"/>
      </w:pPr>
      <w:r w:rsidRPr="00D46064">
        <w:t>Társaság esetén 30 napnál nem régebbi cégkivonatnak és aláírási címpéldány hiteles másolatának csatolása szükséges a nyomtatvány mellé.</w:t>
      </w:r>
    </w:p>
    <w:p w:rsidR="00E15FA9" w:rsidRPr="00D46064" w:rsidRDefault="00E15FA9" w:rsidP="00E15FA9">
      <w:pPr>
        <w:jc w:val="both"/>
      </w:pPr>
    </w:p>
    <w:p w:rsidR="00E15FA9" w:rsidRPr="00D46064" w:rsidRDefault="00E15FA9" w:rsidP="00E15FA9">
      <w:pPr>
        <w:jc w:val="both"/>
      </w:pPr>
      <w:r w:rsidRPr="00D46064">
        <w:t xml:space="preserve">A pályázó </w:t>
      </w:r>
      <w:r w:rsidRPr="00D46064">
        <w:rPr>
          <w:b/>
          <w:bCs/>
        </w:rPr>
        <w:t>ajánlati kötöttsége</w:t>
      </w:r>
      <w:r w:rsidRPr="00D46064">
        <w:t xml:space="preserve"> akkor kezdődik, amikor az ajánlatok benyújtására nyitva álló határidő letelt, és az a szerződés megkötéséig tart.</w:t>
      </w:r>
    </w:p>
    <w:p w:rsidR="00E15FA9" w:rsidRPr="00D46064" w:rsidRDefault="00E15FA9" w:rsidP="00E15FA9">
      <w:pPr>
        <w:jc w:val="both"/>
      </w:pPr>
    </w:p>
    <w:p w:rsidR="00E15FA9" w:rsidRPr="00D46064" w:rsidRDefault="00E15FA9" w:rsidP="00E15FA9">
      <w:pPr>
        <w:jc w:val="both"/>
        <w:rPr>
          <w:b/>
        </w:rPr>
      </w:pPr>
      <w:r w:rsidRPr="00D46064">
        <w:rPr>
          <w:b/>
        </w:rPr>
        <w:t>Az adásvételi szerződés megkötésére az ajánlatok elbírálását követő 15 munkanapon belül kerül sor.</w:t>
      </w:r>
    </w:p>
    <w:p w:rsidR="00E15FA9" w:rsidRPr="00D46064" w:rsidRDefault="00E15FA9" w:rsidP="00E15FA9">
      <w:pPr>
        <w:jc w:val="both"/>
      </w:pPr>
    </w:p>
    <w:p w:rsidR="00131D7A" w:rsidRPr="00D46064" w:rsidRDefault="00D46064" w:rsidP="00131D7A">
      <w:pPr>
        <w:pStyle w:val="Szvegtrzsbehzssal2"/>
        <w:spacing w:after="0" w:line="240" w:lineRule="auto"/>
        <w:ind w:left="0"/>
        <w:jc w:val="both"/>
        <w:rPr>
          <w:b/>
          <w:bCs/>
        </w:rPr>
      </w:pPr>
      <w:r w:rsidRPr="00D46064">
        <w:t>Azon ingatlan esetében, ahol</w:t>
      </w:r>
      <w:r w:rsidR="00131D7A" w:rsidRPr="00D46064">
        <w:t xml:space="preserve"> a </w:t>
      </w:r>
      <w:r w:rsidR="00131D7A" w:rsidRPr="00D46064">
        <w:rPr>
          <w:b/>
        </w:rPr>
        <w:t>vételár meghaladja az 5.000.000</w:t>
      </w:r>
      <w:r w:rsidR="00AB7E99">
        <w:rPr>
          <w:b/>
        </w:rPr>
        <w:t xml:space="preserve">.- </w:t>
      </w:r>
      <w:r w:rsidR="00131D7A" w:rsidRPr="00D46064">
        <w:rPr>
          <w:b/>
        </w:rPr>
        <w:t xml:space="preserve">Ft értékhatárt a Magyar Államot elővásárlási jog illeti meg. </w:t>
      </w:r>
      <w:r w:rsidRPr="00D46064">
        <w:rPr>
          <w:b/>
        </w:rPr>
        <w:t>(Az induló vételárra tekintettel az elővásárlási joggyakorlás lehetősége az 5162/10 hrsz-ú, természetben Salgótarján, Újakna</w:t>
      </w:r>
      <w:r w:rsidR="00823969">
        <w:rPr>
          <w:b/>
        </w:rPr>
        <w:t>i</w:t>
      </w:r>
      <w:r w:rsidRPr="00D46064">
        <w:rPr>
          <w:b/>
        </w:rPr>
        <w:t xml:space="preserve"> út 35/B. szám alatti ingatlan esetén áll fenn.) </w:t>
      </w:r>
      <w:r w:rsidR="00131D7A" w:rsidRPr="00D46064">
        <w:rPr>
          <w:b/>
        </w:rPr>
        <w:t>A szerződés a Magyar Állam elővásárlási jogra vonatkozó lemondó nyilatkozatának kézhezvételének napján lép hatályba.</w:t>
      </w:r>
      <w:r w:rsidR="00131D7A" w:rsidRPr="00D46064">
        <w:t xml:space="preserve"> Amennyiben az elővásárlásra jogosult Magyar Állam él elővásárlási jogával, úgy az adásvételi szerződés a Magyar Állammal kerül megkötésre</w:t>
      </w:r>
      <w:r w:rsidR="00131D7A" w:rsidRPr="00D46064">
        <w:rPr>
          <w:b/>
          <w:bCs/>
        </w:rPr>
        <w:t>.</w:t>
      </w:r>
    </w:p>
    <w:p w:rsidR="00E15FA9" w:rsidRPr="00D46064" w:rsidRDefault="00E15FA9" w:rsidP="00E15FA9">
      <w:pPr>
        <w:jc w:val="both"/>
      </w:pPr>
    </w:p>
    <w:p w:rsidR="00131D7A" w:rsidRPr="002114B1" w:rsidRDefault="00131D7A" w:rsidP="00131D7A">
      <w:pPr>
        <w:jc w:val="both"/>
      </w:pPr>
      <w:r w:rsidRPr="002114B1">
        <w:rPr>
          <w:b/>
          <w:bCs/>
        </w:rPr>
        <w:t>A vételár megfizetése</w:t>
      </w:r>
      <w:r w:rsidRPr="002114B1">
        <w:t>:</w:t>
      </w:r>
    </w:p>
    <w:p w:rsidR="001333EB" w:rsidRPr="002114B1" w:rsidRDefault="00131D7A" w:rsidP="00E05217">
      <w:pPr>
        <w:pStyle w:val="Listaszerbekezds"/>
        <w:numPr>
          <w:ilvl w:val="0"/>
          <w:numId w:val="32"/>
        </w:numPr>
        <w:ind w:hanging="294"/>
        <w:jc w:val="both"/>
      </w:pPr>
      <w:r w:rsidRPr="002114B1">
        <w:t>a szerződés</w:t>
      </w:r>
      <w:r w:rsidR="002114B1" w:rsidRPr="002114B1">
        <w:t xml:space="preserve"> aláírását, vagy </w:t>
      </w:r>
      <w:r w:rsidRPr="002114B1">
        <w:t>hatálybalépésé</w:t>
      </w:r>
      <w:r w:rsidR="00575AD1" w:rsidRPr="002114B1">
        <w:t xml:space="preserve">t </w:t>
      </w:r>
      <w:r w:rsidRPr="002114B1">
        <w:t xml:space="preserve">követő </w:t>
      </w:r>
      <w:r w:rsidR="00575AD1" w:rsidRPr="002114B1">
        <w:t>8</w:t>
      </w:r>
      <w:r w:rsidRPr="002114B1">
        <w:t xml:space="preserve"> napon belül egyösszegben készpénzzel, vagy banki átutalással.</w:t>
      </w:r>
    </w:p>
    <w:p w:rsidR="00E05217" w:rsidRDefault="00E05217" w:rsidP="00594FCE">
      <w:pPr>
        <w:jc w:val="both"/>
      </w:pPr>
    </w:p>
    <w:p w:rsidR="00594FCE" w:rsidRPr="002114B1" w:rsidRDefault="001333EB" w:rsidP="00594FCE">
      <w:pPr>
        <w:jc w:val="both"/>
      </w:pPr>
      <w:r w:rsidRPr="002114B1">
        <w:t>Az ingatlan birtokba adására a teljes vételár megfizetését követő 5 munkanapon belül kerül sor</w:t>
      </w:r>
      <w:r w:rsidR="00D20A4E" w:rsidRPr="002114B1">
        <w:t>.</w:t>
      </w:r>
    </w:p>
    <w:p w:rsidR="001333EB" w:rsidRPr="002114B1" w:rsidRDefault="001333EB" w:rsidP="00594FCE">
      <w:pPr>
        <w:jc w:val="both"/>
      </w:pPr>
    </w:p>
    <w:p w:rsidR="00594FCE" w:rsidRPr="002114B1" w:rsidRDefault="00594FCE" w:rsidP="00594FCE">
      <w:pPr>
        <w:pStyle w:val="Szvegtrzs"/>
        <w:rPr>
          <w:b/>
        </w:rPr>
      </w:pPr>
      <w:r w:rsidRPr="002114B1">
        <w:rPr>
          <w:b/>
        </w:rPr>
        <w:t xml:space="preserve">Ajánlattevő kötelezettsége az adásvételi jogügyletet terhelő visszterhes vagyonátruházási illeték, a tulajdonjog bejegyzéséhez kapcsolódó földhivatali eljárási díj </w:t>
      </w:r>
      <w:r w:rsidRPr="002114B1">
        <w:t>(a pályázati kiírás napján hatályos jogszabály alapján 6.600</w:t>
      </w:r>
      <w:r w:rsidR="00E05217">
        <w:t xml:space="preserve">.- </w:t>
      </w:r>
      <w:r w:rsidRPr="002114B1">
        <w:t xml:space="preserve">Ft) és </w:t>
      </w:r>
      <w:r w:rsidRPr="002114B1">
        <w:rPr>
          <w:b/>
        </w:rPr>
        <w:t>bonyolítási díj</w:t>
      </w:r>
      <w:r w:rsidRPr="002114B1">
        <w:t xml:space="preserve"> (</w:t>
      </w:r>
      <w:r w:rsidR="00131D7A" w:rsidRPr="002114B1">
        <w:t>70</w:t>
      </w:r>
      <w:r w:rsidRPr="002114B1">
        <w:t>.000</w:t>
      </w:r>
      <w:r w:rsidR="00E05217">
        <w:t xml:space="preserve">.- </w:t>
      </w:r>
      <w:r w:rsidRPr="002114B1">
        <w:t xml:space="preserve">Ft + </w:t>
      </w:r>
      <w:r w:rsidR="00AB7E99">
        <w:t>áfa</w:t>
      </w:r>
      <w:r w:rsidRPr="002114B1">
        <w:t>)</w:t>
      </w:r>
      <w:r w:rsidRPr="002114B1">
        <w:rPr>
          <w:b/>
        </w:rPr>
        <w:t xml:space="preserve"> megfizetése.</w:t>
      </w:r>
      <w:r w:rsidR="00F57241" w:rsidRPr="002114B1">
        <w:rPr>
          <w:b/>
        </w:rPr>
        <w:t xml:space="preserve"> A földhivatali eljárási díj és a bonyolítási díj megfizetése a szerződéskötéssel egyidejűleg a kiíró házipénztárában készpénzzel, vagy a kiíró OTP Bank Nyrt.-nél vezetett 11741000-20171773-00000000 bankszámlaszámára utalással történik.</w:t>
      </w:r>
    </w:p>
    <w:p w:rsidR="00594FCE" w:rsidRPr="002114B1" w:rsidRDefault="00594FCE" w:rsidP="00594FCE">
      <w:pPr>
        <w:pStyle w:val="Szvegtrzs"/>
      </w:pPr>
    </w:p>
    <w:p w:rsidR="00594FCE" w:rsidRPr="002114B1" w:rsidRDefault="00594FCE" w:rsidP="00594FCE">
      <w:pPr>
        <w:jc w:val="both"/>
      </w:pPr>
      <w:r w:rsidRPr="002114B1">
        <w:t xml:space="preserve">A megkötendő adásvételi szerződésben alkalmazásra kerül a nemzeti vagyonról szóló 2011. évi CXCVI. törvény önkormányzati vagyon hasznosítására vonatkozó szabályai is, továbbá a pályázónak igazolnia kell, hogy a törvény alapján jogi személy esetén átlátható szervezetnek minősül. </w:t>
      </w:r>
    </w:p>
    <w:p w:rsidR="000F6365" w:rsidRPr="006B6B93" w:rsidRDefault="000F6365" w:rsidP="00594FCE">
      <w:pPr>
        <w:jc w:val="both"/>
      </w:pPr>
    </w:p>
    <w:p w:rsidR="006B6B93" w:rsidRPr="006B6B93" w:rsidRDefault="000F6365" w:rsidP="006B6B93">
      <w:pPr>
        <w:jc w:val="both"/>
      </w:pPr>
      <w:r w:rsidRPr="006B6B93">
        <w:rPr>
          <w:b/>
        </w:rPr>
        <w:t>Az ingatlan</w:t>
      </w:r>
      <w:r w:rsidR="002114B1" w:rsidRPr="006B6B93">
        <w:rPr>
          <w:b/>
        </w:rPr>
        <w:t>ok</w:t>
      </w:r>
      <w:r w:rsidRPr="006B6B93">
        <w:rPr>
          <w:b/>
        </w:rPr>
        <w:t xml:space="preserve"> megtekintésére </w:t>
      </w:r>
      <w:r w:rsidR="002114B1" w:rsidRPr="006B6B93">
        <w:rPr>
          <w:b/>
        </w:rPr>
        <w:t xml:space="preserve">előzetes </w:t>
      </w:r>
      <w:r w:rsidRPr="006B6B93">
        <w:rPr>
          <w:b/>
        </w:rPr>
        <w:t>időpont</w:t>
      </w:r>
      <w:r w:rsidR="002114B1" w:rsidRPr="006B6B93">
        <w:rPr>
          <w:b/>
        </w:rPr>
        <w:t xml:space="preserve"> egyeztetést követően </w:t>
      </w:r>
      <w:r w:rsidRPr="006B6B93">
        <w:rPr>
          <w:b/>
        </w:rPr>
        <w:t>van lehetőség.</w:t>
      </w:r>
      <w:r w:rsidR="006B6B93" w:rsidRPr="006B6B93">
        <w:t xml:space="preserve"> Időpont az alábbi telefonszámon kérhető: +36-20/253-6103, +36-20/422-5579</w:t>
      </w:r>
      <w:r w:rsidR="00E05217">
        <w:t>.</w:t>
      </w:r>
    </w:p>
    <w:p w:rsidR="000F6365" w:rsidRPr="006B6B93" w:rsidRDefault="000F6365" w:rsidP="00594FCE">
      <w:pPr>
        <w:jc w:val="both"/>
      </w:pPr>
    </w:p>
    <w:p w:rsidR="00252460" w:rsidRPr="006B6B93" w:rsidRDefault="00252460" w:rsidP="00252460">
      <w:pPr>
        <w:jc w:val="both"/>
        <w:rPr>
          <w:b/>
        </w:rPr>
      </w:pPr>
      <w:r w:rsidRPr="006B6B93">
        <w:rPr>
          <w:b/>
        </w:rPr>
        <w:t>A benyújtott ajánlatnak tartalmazni kell a kiíró által közzé tett:</w:t>
      </w:r>
    </w:p>
    <w:p w:rsidR="00252460" w:rsidRPr="006B6B93" w:rsidRDefault="00252460" w:rsidP="00252460">
      <w:pPr>
        <w:pStyle w:val="Listaszerbekezds"/>
        <w:numPr>
          <w:ilvl w:val="0"/>
          <w:numId w:val="15"/>
        </w:numPr>
        <w:jc w:val="both"/>
      </w:pPr>
      <w:r w:rsidRPr="006B6B93">
        <w:t>Pályázati adatlapot,</w:t>
      </w:r>
    </w:p>
    <w:p w:rsidR="00652C79" w:rsidRPr="006B6B93" w:rsidRDefault="00652C79" w:rsidP="00652C79">
      <w:pPr>
        <w:pStyle w:val="Listaszerbekezds"/>
        <w:numPr>
          <w:ilvl w:val="0"/>
          <w:numId w:val="15"/>
        </w:numPr>
        <w:jc w:val="both"/>
      </w:pPr>
      <w:r w:rsidRPr="006B6B93">
        <w:rPr>
          <w:b/>
        </w:rPr>
        <w:t xml:space="preserve">Az ajánlattevő részletes és jogilag kötelező </w:t>
      </w:r>
      <w:proofErr w:type="spellStart"/>
      <w:r w:rsidRPr="006B6B93">
        <w:rPr>
          <w:b/>
        </w:rPr>
        <w:t>erejű</w:t>
      </w:r>
      <w:proofErr w:type="spellEnd"/>
      <w:r w:rsidRPr="006B6B93">
        <w:rPr>
          <w:b/>
        </w:rPr>
        <w:t xml:space="preserve"> nyilatkozatát</w:t>
      </w:r>
    </w:p>
    <w:p w:rsidR="00652C79" w:rsidRPr="006B6B93" w:rsidRDefault="00652C79" w:rsidP="00652C79">
      <w:pPr>
        <w:pStyle w:val="Listaszerbekezds"/>
        <w:numPr>
          <w:ilvl w:val="0"/>
          <w:numId w:val="20"/>
        </w:numPr>
        <w:jc w:val="both"/>
      </w:pPr>
      <w:r w:rsidRPr="006B6B93">
        <w:t>a kiírásban és a részletes dokumentációban (pályázati feltételekben) foglalt feltételek megismerésé</w:t>
      </w:r>
      <w:r w:rsidR="00D94E37" w:rsidRPr="006B6B93">
        <w:t>ről</w:t>
      </w:r>
      <w:r w:rsidRPr="006B6B93">
        <w:t xml:space="preserve"> és elfogadásá</w:t>
      </w:r>
      <w:r w:rsidR="00D94E37" w:rsidRPr="006B6B93">
        <w:t>ról</w:t>
      </w:r>
      <w:r w:rsidRPr="006B6B93">
        <w:t>;</w:t>
      </w:r>
    </w:p>
    <w:p w:rsidR="00652C79" w:rsidRPr="006B6B93" w:rsidRDefault="00652C79" w:rsidP="00652C79">
      <w:pPr>
        <w:pStyle w:val="Listaszerbekezds"/>
        <w:numPr>
          <w:ilvl w:val="0"/>
          <w:numId w:val="20"/>
        </w:numPr>
        <w:jc w:val="both"/>
      </w:pPr>
      <w:r w:rsidRPr="006B6B93">
        <w:t>a kiíró tájékoztatásának tudomásul vételé</w:t>
      </w:r>
      <w:r w:rsidR="00D94E37" w:rsidRPr="006B6B93">
        <w:t>ről</w:t>
      </w:r>
      <w:r w:rsidRPr="006B6B93">
        <w:t>;</w:t>
      </w:r>
    </w:p>
    <w:p w:rsidR="00652C79" w:rsidRPr="006B6B93" w:rsidRDefault="00652C79" w:rsidP="00652C79">
      <w:pPr>
        <w:pStyle w:val="Listaszerbekezds"/>
        <w:numPr>
          <w:ilvl w:val="0"/>
          <w:numId w:val="20"/>
        </w:numPr>
        <w:jc w:val="both"/>
      </w:pPr>
      <w:r w:rsidRPr="006B6B93">
        <w:t>az általa vállalt vételár megfizetésének módjá</w:t>
      </w:r>
      <w:r w:rsidR="00D94E37" w:rsidRPr="006B6B93">
        <w:t>ról</w:t>
      </w:r>
      <w:r w:rsidRPr="006B6B93">
        <w:t>, a szerződés határidőn belül történő megkötésé</w:t>
      </w:r>
      <w:r w:rsidR="00D94E37" w:rsidRPr="006B6B93">
        <w:t>ről</w:t>
      </w:r>
      <w:r w:rsidRPr="006B6B93">
        <w:t>;</w:t>
      </w:r>
    </w:p>
    <w:p w:rsidR="009F1C61" w:rsidRPr="006B6B93" w:rsidRDefault="00652C79" w:rsidP="006E7DC4">
      <w:pPr>
        <w:pStyle w:val="Listaszerbekezds"/>
        <w:numPr>
          <w:ilvl w:val="0"/>
          <w:numId w:val="20"/>
        </w:numPr>
        <w:jc w:val="both"/>
      </w:pPr>
      <w:r w:rsidRPr="006B6B93">
        <w:t>az ingatlan részletes megtekintésé</w:t>
      </w:r>
      <w:r w:rsidR="00BD50F4" w:rsidRPr="006B6B93">
        <w:t>nek megtörténtéről;</w:t>
      </w:r>
    </w:p>
    <w:p w:rsidR="00252460" w:rsidRPr="006B6B93" w:rsidRDefault="00252460" w:rsidP="00252460">
      <w:pPr>
        <w:pStyle w:val="Listaszerbekezds"/>
        <w:numPr>
          <w:ilvl w:val="0"/>
          <w:numId w:val="15"/>
        </w:numPr>
        <w:jc w:val="both"/>
      </w:pPr>
      <w:r w:rsidRPr="006B6B93">
        <w:t>Hozzájáruló nyilatkozat</w:t>
      </w:r>
      <w:r w:rsidR="00D94E37" w:rsidRPr="006B6B93">
        <w:t>ot</w:t>
      </w:r>
      <w:r w:rsidRPr="006B6B93">
        <w:t xml:space="preserve"> az adatkezeléshez,</w:t>
      </w:r>
    </w:p>
    <w:p w:rsidR="00252460" w:rsidRPr="006B6B93" w:rsidRDefault="00834E96" w:rsidP="00252460">
      <w:pPr>
        <w:pStyle w:val="Listaszerbekezds"/>
        <w:numPr>
          <w:ilvl w:val="0"/>
          <w:numId w:val="15"/>
        </w:numPr>
        <w:jc w:val="both"/>
      </w:pPr>
      <w:r w:rsidRPr="006B6B93">
        <w:t>á</w:t>
      </w:r>
      <w:r w:rsidR="00252460" w:rsidRPr="006B6B93">
        <w:t>tláthatósági nyilatkozatot kizárólag jogi személy esetén</w:t>
      </w:r>
      <w:r w:rsidRPr="006B6B93">
        <w:t>,</w:t>
      </w:r>
    </w:p>
    <w:p w:rsidR="00222244" w:rsidRPr="006B6B93" w:rsidRDefault="00834E96" w:rsidP="00222244">
      <w:pPr>
        <w:numPr>
          <w:ilvl w:val="0"/>
          <w:numId w:val="15"/>
        </w:numPr>
        <w:suppressAutoHyphens/>
        <w:jc w:val="both"/>
      </w:pPr>
      <w:r w:rsidRPr="006B6B93">
        <w:t>g</w:t>
      </w:r>
      <w:r w:rsidR="00222244" w:rsidRPr="006B6B93">
        <w:t>azdasági társaság esetén 30 napnál nem régebbi cégkivonat és aláírási címpéldány</w:t>
      </w:r>
      <w:r w:rsidR="00222244" w:rsidRPr="006B6B93">
        <w:rPr>
          <w:b/>
        </w:rPr>
        <w:t xml:space="preserve"> </w:t>
      </w:r>
      <w:r w:rsidR="00222244" w:rsidRPr="006B6B93">
        <w:t>hiteles másolatának becsatolása</w:t>
      </w:r>
      <w:r w:rsidRPr="006B6B93">
        <w:t>,</w:t>
      </w:r>
    </w:p>
    <w:p w:rsidR="00834E96" w:rsidRDefault="00834E96" w:rsidP="00222244">
      <w:pPr>
        <w:numPr>
          <w:ilvl w:val="0"/>
          <w:numId w:val="15"/>
        </w:numPr>
        <w:suppressAutoHyphens/>
        <w:jc w:val="both"/>
      </w:pPr>
      <w:r w:rsidRPr="006B6B93">
        <w:lastRenderedPageBreak/>
        <w:t>jogi személy esetén</w:t>
      </w:r>
      <w:r w:rsidRPr="006B6B93">
        <w:rPr>
          <w:b/>
        </w:rPr>
        <w:t xml:space="preserve"> 30 napnál nem régebbi köztartozás-mentességről szóló igazolás</w:t>
      </w:r>
      <w:r w:rsidRPr="006B6B93">
        <w:t xml:space="preserve"> (NAV és azon települési Önkormányzat részéről, ahol a tevékenységet végzi a pályázó)</w:t>
      </w:r>
      <w:r w:rsidR="006E7DC4">
        <w:t>,</w:t>
      </w:r>
    </w:p>
    <w:p w:rsidR="006E7DC4" w:rsidRPr="006B6B93" w:rsidRDefault="006E7DC4" w:rsidP="00222244">
      <w:pPr>
        <w:numPr>
          <w:ilvl w:val="0"/>
          <w:numId w:val="15"/>
        </w:numPr>
        <w:suppressAutoHyphens/>
        <w:jc w:val="both"/>
      </w:pPr>
      <w:r>
        <w:t>a 119 hrsz-ú ingatlan esetében nyilatkozat arra vonatkozóan, hogy az ingatlan tulajdonjogát bérleti jogviszonnyal terhelten is meg kívánja szerezni.</w:t>
      </w:r>
    </w:p>
    <w:p w:rsidR="00B41A89" w:rsidRPr="006B6B93" w:rsidRDefault="00B41A89" w:rsidP="00222244">
      <w:pPr>
        <w:jc w:val="both"/>
      </w:pPr>
    </w:p>
    <w:p w:rsidR="00252460" w:rsidRPr="006B6B93" w:rsidRDefault="00252460" w:rsidP="00252460">
      <w:pPr>
        <w:jc w:val="both"/>
        <w:rPr>
          <w:bCs/>
        </w:rPr>
      </w:pPr>
      <w:r w:rsidRPr="006B6B93">
        <w:rPr>
          <w:bCs/>
        </w:rPr>
        <w:t xml:space="preserve">A pályázat </w:t>
      </w:r>
      <w:r w:rsidRPr="006B6B93">
        <w:rPr>
          <w:b/>
          <w:bCs/>
        </w:rPr>
        <w:t>érvényességének feltételei</w:t>
      </w:r>
      <w:r w:rsidRPr="006B6B93">
        <w:rPr>
          <w:bCs/>
        </w:rPr>
        <w:t>:</w:t>
      </w:r>
    </w:p>
    <w:p w:rsidR="00252460" w:rsidRPr="006B6B93" w:rsidRDefault="00252460" w:rsidP="00252460">
      <w:pPr>
        <w:pStyle w:val="Listaszerbekezds"/>
        <w:numPr>
          <w:ilvl w:val="0"/>
          <w:numId w:val="17"/>
        </w:numPr>
        <w:jc w:val="both"/>
        <w:rPr>
          <w:bCs/>
        </w:rPr>
      </w:pPr>
      <w:r w:rsidRPr="006B6B93">
        <w:rPr>
          <w:bCs/>
        </w:rPr>
        <w:t>a „Pályázati adatlap” pontos és olvasható kitöltése, eredeti aláírása</w:t>
      </w:r>
    </w:p>
    <w:p w:rsidR="00252460" w:rsidRPr="006B6B93" w:rsidRDefault="00252460" w:rsidP="00252460">
      <w:pPr>
        <w:pStyle w:val="Listaszerbekezds"/>
        <w:numPr>
          <w:ilvl w:val="0"/>
          <w:numId w:val="17"/>
        </w:numPr>
        <w:jc w:val="both"/>
        <w:rPr>
          <w:bCs/>
        </w:rPr>
      </w:pPr>
      <w:r w:rsidRPr="006B6B93">
        <w:rPr>
          <w:bCs/>
        </w:rPr>
        <w:t xml:space="preserve">a szükséges dokumentumok csatolása </w:t>
      </w:r>
    </w:p>
    <w:p w:rsidR="00252460" w:rsidRPr="006B6B93" w:rsidRDefault="00252460" w:rsidP="00252460">
      <w:pPr>
        <w:pStyle w:val="Listaszerbekezds"/>
        <w:numPr>
          <w:ilvl w:val="0"/>
          <w:numId w:val="17"/>
        </w:numPr>
        <w:jc w:val="both"/>
        <w:rPr>
          <w:bCs/>
        </w:rPr>
      </w:pPr>
      <w:r w:rsidRPr="006B6B93">
        <w:rPr>
          <w:bCs/>
        </w:rPr>
        <w:t>minimum az induló vételár megajánlása</w:t>
      </w:r>
    </w:p>
    <w:p w:rsidR="00252460" w:rsidRPr="00FB7E3D" w:rsidRDefault="00252460" w:rsidP="006446BE">
      <w:pPr>
        <w:jc w:val="both"/>
        <w:rPr>
          <w:bCs/>
        </w:rPr>
      </w:pPr>
    </w:p>
    <w:p w:rsidR="00594FCE" w:rsidRPr="006B6B93" w:rsidRDefault="00594FCE" w:rsidP="00594FCE">
      <w:pPr>
        <w:jc w:val="both"/>
      </w:pPr>
      <w:r w:rsidRPr="006B6B93">
        <w:t xml:space="preserve">A pályázat elbírálása során a </w:t>
      </w:r>
      <w:r w:rsidRPr="006B6B93">
        <w:rPr>
          <w:b/>
          <w:bCs/>
        </w:rPr>
        <w:t>rangsoroláskor alkalmazott szempontok</w:t>
      </w:r>
      <w:r w:rsidRPr="006B6B93">
        <w:t>:</w:t>
      </w:r>
    </w:p>
    <w:p w:rsidR="00594FCE" w:rsidRPr="006B6B93" w:rsidRDefault="00594FCE" w:rsidP="00594FCE">
      <w:pPr>
        <w:pStyle w:val="Listaszerbekezds"/>
        <w:numPr>
          <w:ilvl w:val="0"/>
          <w:numId w:val="17"/>
        </w:numPr>
        <w:jc w:val="both"/>
        <w:rPr>
          <w:b/>
          <w:bCs/>
        </w:rPr>
      </w:pPr>
      <w:bookmarkStart w:id="3" w:name="_Hlk81567773"/>
      <w:r w:rsidRPr="006B6B93">
        <w:t xml:space="preserve">a pályázati </w:t>
      </w:r>
      <w:bookmarkStart w:id="4" w:name="_Hlk81567315"/>
      <w:r w:rsidRPr="006B6B93">
        <w:t>kiírásban szereplő ingatlanra nyújtott pályázati ajánlat</w:t>
      </w:r>
      <w:r w:rsidR="00F57241" w:rsidRPr="006B6B93">
        <w:t xml:space="preserve"> (</w:t>
      </w:r>
      <w:r w:rsidR="005B53C1" w:rsidRPr="006B6B93">
        <w:t>vételár</w:t>
      </w:r>
      <w:bookmarkEnd w:id="4"/>
      <w:bookmarkEnd w:id="3"/>
      <w:r w:rsidR="00F57241" w:rsidRPr="006B6B93">
        <w:t>)</w:t>
      </w:r>
      <w:r w:rsidR="00A5166F" w:rsidRPr="006B6B93">
        <w:t>.</w:t>
      </w:r>
    </w:p>
    <w:p w:rsidR="00594FCE" w:rsidRPr="00FB7E3D" w:rsidRDefault="00594FCE" w:rsidP="006446BE">
      <w:pPr>
        <w:jc w:val="both"/>
        <w:rPr>
          <w:bCs/>
        </w:rPr>
      </w:pPr>
    </w:p>
    <w:p w:rsidR="006446BE" w:rsidRPr="006B6B93" w:rsidRDefault="006446BE" w:rsidP="00F57241">
      <w:pPr>
        <w:jc w:val="both"/>
        <w:rPr>
          <w:bCs/>
        </w:rPr>
      </w:pPr>
      <w:r w:rsidRPr="006B6B93">
        <w:rPr>
          <w:b/>
          <w:bCs/>
        </w:rPr>
        <w:t xml:space="preserve">A pályázatok </w:t>
      </w:r>
      <w:r w:rsidRPr="006B6B93">
        <w:rPr>
          <w:b/>
        </w:rPr>
        <w:t>felbontás</w:t>
      </w:r>
      <w:r w:rsidRPr="006B6B93">
        <w:rPr>
          <w:b/>
          <w:bCs/>
        </w:rPr>
        <w:t>ára</w:t>
      </w:r>
      <w:r w:rsidRPr="006B6B93">
        <w:rPr>
          <w:bCs/>
        </w:rPr>
        <w:t xml:space="preserve"> a kiíró székhelyén </w:t>
      </w:r>
      <w:r w:rsidR="00575AD1" w:rsidRPr="006B6B93">
        <w:rPr>
          <w:b/>
        </w:rPr>
        <w:t>202</w:t>
      </w:r>
      <w:r w:rsidR="002F0C19">
        <w:rPr>
          <w:b/>
        </w:rPr>
        <w:t>4</w:t>
      </w:r>
      <w:r w:rsidR="00575AD1" w:rsidRPr="006B6B93">
        <w:rPr>
          <w:b/>
        </w:rPr>
        <w:t>.</w:t>
      </w:r>
      <w:r w:rsidR="001D3192" w:rsidRPr="006B6B93">
        <w:rPr>
          <w:b/>
        </w:rPr>
        <w:t xml:space="preserve"> </w:t>
      </w:r>
      <w:r w:rsidR="002F0C19">
        <w:rPr>
          <w:b/>
        </w:rPr>
        <w:t>február 14</w:t>
      </w:r>
      <w:r w:rsidR="00371D23" w:rsidRPr="006B6B93">
        <w:rPr>
          <w:b/>
        </w:rPr>
        <w:t>.</w:t>
      </w:r>
      <w:r w:rsidRPr="006B6B93">
        <w:rPr>
          <w:b/>
          <w:bCs/>
        </w:rPr>
        <w:t xml:space="preserve"> napján kerül sor</w:t>
      </w:r>
      <w:r w:rsidRPr="006B6B93">
        <w:rPr>
          <w:bCs/>
        </w:rPr>
        <w:t xml:space="preserve">. </w:t>
      </w:r>
      <w:r w:rsidR="00F57241" w:rsidRPr="006B6B93">
        <w:rPr>
          <w:bCs/>
        </w:rPr>
        <w:t>A kiíró a bontás eredményéről az elbírálást követő 5 munkanapon napon belül a nyertes pályázót telefonon és elektronikus úton is értesíti. A pályázat elbírálását követő 5 munkanapon belül köteles a kiíró annak eredményéről postai úton értesíteni a pályázókat.</w:t>
      </w:r>
    </w:p>
    <w:p w:rsidR="006446BE" w:rsidRPr="006B6B93" w:rsidRDefault="006446BE" w:rsidP="006446BE">
      <w:pPr>
        <w:jc w:val="both"/>
        <w:rPr>
          <w:bCs/>
        </w:rPr>
      </w:pPr>
    </w:p>
    <w:p w:rsidR="006446BE" w:rsidRPr="006B6B93" w:rsidRDefault="006446BE" w:rsidP="006446BE">
      <w:pPr>
        <w:jc w:val="both"/>
      </w:pPr>
      <w:r w:rsidRPr="006B6B93">
        <w:t xml:space="preserve">Amennyiben a kiíró a bontás eredményeképpen azt állapítja meg, hogy az ajánlatok közül nem választható ki egyértelműen a legkedvezőbb ajánlat, mert két vagy több azonos ajánlat érkezett, </w:t>
      </w:r>
      <w:r w:rsidRPr="006B6B93">
        <w:rPr>
          <w:b/>
        </w:rPr>
        <w:t>ártárgyalás</w:t>
      </w:r>
      <w:r w:rsidR="001775AC" w:rsidRPr="006B6B93">
        <w:rPr>
          <w:b/>
        </w:rPr>
        <w:t xml:space="preserve"> </w:t>
      </w:r>
      <w:r w:rsidR="001775AC" w:rsidRPr="006B6B93">
        <w:t>(licitálás)</w:t>
      </w:r>
      <w:r w:rsidRPr="006B6B93">
        <w:t xml:space="preserve"> kiírására kerül sor, melyről annak időpontja előtt legalább 5 munkanappal értesíti az érintett ajánlatok benyújtóit.</w:t>
      </w:r>
    </w:p>
    <w:p w:rsidR="006446BE" w:rsidRPr="006B6B93" w:rsidRDefault="006446BE" w:rsidP="006446BE">
      <w:pPr>
        <w:jc w:val="both"/>
      </w:pPr>
      <w:r w:rsidRPr="006B6B93">
        <w:t xml:space="preserve">Az ártárgyaláson a pályázók ajánlataikat módosíthatják azzal, hogy a korábban megajánlott vételár nem csökkenthető, és az ajánlatnak továbbra is meg kell felelnie a pályázati kiírásban rögzített valamennyi feltételnek. Az ártárgyaláson az ajánlatot tevő személyesen vesz részt, azon a licit lépcső </w:t>
      </w:r>
      <w:r w:rsidR="006C79D9">
        <w:t>10</w:t>
      </w:r>
      <w:bookmarkStart w:id="5" w:name="_GoBack"/>
      <w:bookmarkEnd w:id="5"/>
      <w:r w:rsidRPr="006B6B93">
        <w:t>0.000</w:t>
      </w:r>
      <w:r w:rsidR="002F0C19">
        <w:t xml:space="preserve">.- </w:t>
      </w:r>
      <w:r w:rsidRPr="006B6B93">
        <w:t>Ft. Az ártárgyalás lezárását követően a pályázatok rangsorolására kerül sor.</w:t>
      </w:r>
    </w:p>
    <w:p w:rsidR="000F6365" w:rsidRPr="006B6B93" w:rsidRDefault="000F6365" w:rsidP="006446BE">
      <w:pPr>
        <w:jc w:val="both"/>
      </w:pPr>
    </w:p>
    <w:p w:rsidR="006446BE" w:rsidRPr="006B6B93" w:rsidRDefault="00594FCE" w:rsidP="006446BE">
      <w:pPr>
        <w:jc w:val="both"/>
        <w:rPr>
          <w:b/>
        </w:rPr>
      </w:pPr>
      <w:r w:rsidRPr="006B6B93">
        <w:rPr>
          <w:b/>
        </w:rPr>
        <w:t>A kiíró hiánypótlást előírhat.</w:t>
      </w:r>
    </w:p>
    <w:p w:rsidR="000F6365" w:rsidRPr="00FB7E3D" w:rsidRDefault="000F6365" w:rsidP="006446BE">
      <w:pPr>
        <w:jc w:val="both"/>
      </w:pPr>
    </w:p>
    <w:p w:rsidR="006446BE" w:rsidRPr="00470870" w:rsidRDefault="006446BE" w:rsidP="006446BE">
      <w:pPr>
        <w:jc w:val="both"/>
        <w:rPr>
          <w:b/>
          <w:i/>
        </w:rPr>
      </w:pPr>
      <w:r w:rsidRPr="00470870">
        <w:rPr>
          <w:bCs/>
        </w:rPr>
        <w:t xml:space="preserve">A </w:t>
      </w:r>
      <w:r w:rsidRPr="00470870">
        <w:rPr>
          <w:b/>
          <w:bCs/>
        </w:rPr>
        <w:t>kiíró jogosult az eljárást eredménytelennek nyilvánítani</w:t>
      </w:r>
      <w:r w:rsidRPr="00470870">
        <w:rPr>
          <w:bCs/>
        </w:rPr>
        <w:t>, amennyiben</w:t>
      </w:r>
    </w:p>
    <w:p w:rsidR="006446BE" w:rsidRPr="00470870" w:rsidRDefault="006446BE" w:rsidP="006446BE">
      <w:pPr>
        <w:numPr>
          <w:ilvl w:val="0"/>
          <w:numId w:val="5"/>
        </w:numPr>
        <w:ind w:left="426"/>
        <w:jc w:val="both"/>
        <w:rPr>
          <w:bCs/>
          <w:iCs/>
        </w:rPr>
      </w:pPr>
      <w:r w:rsidRPr="00470870">
        <w:rPr>
          <w:bCs/>
          <w:iCs/>
        </w:rPr>
        <w:t>nem érkezett pályázati ajánlat,</w:t>
      </w:r>
    </w:p>
    <w:p w:rsidR="006446BE" w:rsidRPr="00470870" w:rsidRDefault="006446BE" w:rsidP="006446BE">
      <w:pPr>
        <w:numPr>
          <w:ilvl w:val="0"/>
          <w:numId w:val="5"/>
        </w:numPr>
        <w:ind w:left="426"/>
        <w:jc w:val="both"/>
        <w:rPr>
          <w:bCs/>
          <w:iCs/>
        </w:rPr>
      </w:pPr>
      <w:r w:rsidRPr="00470870">
        <w:rPr>
          <w:bCs/>
          <w:iCs/>
        </w:rPr>
        <w:t>kizárólag érvénytelen ajánlatok érkeztek,</w:t>
      </w:r>
    </w:p>
    <w:p w:rsidR="006446BE" w:rsidRPr="00470870" w:rsidRDefault="006446BE" w:rsidP="006446BE">
      <w:pPr>
        <w:numPr>
          <w:ilvl w:val="0"/>
          <w:numId w:val="5"/>
        </w:numPr>
        <w:ind w:left="426"/>
        <w:jc w:val="both"/>
        <w:rPr>
          <w:bCs/>
          <w:iCs/>
        </w:rPr>
      </w:pPr>
      <w:r w:rsidRPr="00470870">
        <w:rPr>
          <w:bCs/>
          <w:iCs/>
        </w:rPr>
        <w:t>egyik ajánlattevő sem tett a pályázati felhívásban foglaltaknak megfelelő ajánlatot, vagy egyik ajánlat sem érte el a tulajdonos önkormányzat által meghatározott minimális értékesítési árat,</w:t>
      </w:r>
    </w:p>
    <w:p w:rsidR="006446BE" w:rsidRPr="00470870" w:rsidRDefault="006446BE" w:rsidP="006446BE">
      <w:pPr>
        <w:numPr>
          <w:ilvl w:val="0"/>
          <w:numId w:val="5"/>
        </w:numPr>
        <w:ind w:left="426"/>
        <w:jc w:val="both"/>
        <w:rPr>
          <w:bCs/>
          <w:iCs/>
        </w:rPr>
      </w:pPr>
      <w:r w:rsidRPr="00470870">
        <w:rPr>
          <w:bCs/>
          <w:iCs/>
        </w:rPr>
        <w:t>a kiíró egyéb okok miatt az eljárás érvénytelenítéséről döntött.</w:t>
      </w:r>
    </w:p>
    <w:p w:rsidR="006446BE" w:rsidRPr="00470870" w:rsidRDefault="006446BE" w:rsidP="006446BE">
      <w:pPr>
        <w:jc w:val="both"/>
        <w:rPr>
          <w:bCs/>
          <w:iCs/>
        </w:rPr>
      </w:pPr>
    </w:p>
    <w:p w:rsidR="006446BE" w:rsidRDefault="006446BE" w:rsidP="006446BE">
      <w:pPr>
        <w:jc w:val="both"/>
        <w:rPr>
          <w:bCs/>
          <w:iCs/>
        </w:rPr>
      </w:pPr>
      <w:r w:rsidRPr="00470870">
        <w:rPr>
          <w:bCs/>
          <w:iCs/>
        </w:rPr>
        <w:t>A kiíró fenntartja magának a jogot, hogy a nyertes ajánlattevő visszalépése esetén a pályázat soron következő helyezettjével kössön adásvételi szerződést, amennyiben az megfelel a pályázati feltételeknek.</w:t>
      </w:r>
    </w:p>
    <w:p w:rsidR="002F0C19" w:rsidRPr="00470870" w:rsidRDefault="002F0C19" w:rsidP="006446BE">
      <w:pPr>
        <w:jc w:val="both"/>
        <w:rPr>
          <w:bCs/>
          <w:iCs/>
        </w:rPr>
      </w:pPr>
    </w:p>
    <w:p w:rsidR="006446BE" w:rsidRDefault="006446BE" w:rsidP="006446BE">
      <w:pPr>
        <w:jc w:val="both"/>
        <w:rPr>
          <w:b/>
        </w:rPr>
      </w:pPr>
      <w:r w:rsidRPr="00470870">
        <w:rPr>
          <w:b/>
        </w:rPr>
        <w:t>A pályázat benyújtásával az ajánlattevő elfogadja a jelen pályázati feltételeket, és vállalja az abban foglalt kötelezettség teljesítését; továbbá tudomásul veszi, hogy ajánlata kidolgozásával felmerült költségek őt terhelik, azokat a kiíróra nem háríthatja.</w:t>
      </w:r>
    </w:p>
    <w:p w:rsidR="002F0C19" w:rsidRPr="00FB7E3D" w:rsidRDefault="002F0C19" w:rsidP="006446BE">
      <w:pPr>
        <w:jc w:val="both"/>
      </w:pPr>
    </w:p>
    <w:p w:rsidR="00594FCE" w:rsidRPr="00470870" w:rsidRDefault="00594FCE" w:rsidP="006446BE">
      <w:pPr>
        <w:jc w:val="both"/>
        <w:rPr>
          <w:bCs/>
          <w:iCs/>
        </w:rPr>
      </w:pPr>
      <w:r w:rsidRPr="00470870">
        <w:t>Ajánlatkérő fenntartja a jogot a pályázat – indoklás nélkül történő – eredménytelenné minősítésére.</w:t>
      </w:r>
    </w:p>
    <w:p w:rsidR="006446BE" w:rsidRPr="00470870" w:rsidRDefault="006446BE" w:rsidP="006446BE">
      <w:pPr>
        <w:jc w:val="both"/>
      </w:pPr>
    </w:p>
    <w:p w:rsidR="006446BE" w:rsidRPr="00470870" w:rsidRDefault="006446BE" w:rsidP="006446BE">
      <w:pPr>
        <w:jc w:val="both"/>
      </w:pPr>
      <w:r w:rsidRPr="00470870">
        <w:t>További információ a Salgó Vagyon Kft. vagyonkezelési divízió</w:t>
      </w:r>
      <w:r w:rsidR="00F57241" w:rsidRPr="00470870">
        <w:t xml:space="preserve"> osztályán a</w:t>
      </w:r>
      <w:r w:rsidRPr="00470870">
        <w:t xml:space="preserve"> 32/700-108 (7</w:t>
      </w:r>
      <w:r w:rsidR="00637973" w:rsidRPr="00470870">
        <w:t>30</w:t>
      </w:r>
      <w:r w:rsidRPr="00470870">
        <w:t>. mellék) telefonszámon</w:t>
      </w:r>
      <w:r w:rsidR="001775AC" w:rsidRPr="00470870">
        <w:t>, illetve a +36-20/627-1619 titkársági mobilszámon</w:t>
      </w:r>
      <w:r w:rsidRPr="00470870">
        <w:t xml:space="preserve"> szerezhető be.</w:t>
      </w:r>
    </w:p>
    <w:p w:rsidR="006446BE" w:rsidRPr="001333EB" w:rsidRDefault="006446BE" w:rsidP="006446BE">
      <w:pPr>
        <w:jc w:val="both"/>
      </w:pPr>
    </w:p>
    <w:p w:rsidR="006446BE" w:rsidRDefault="006446BE" w:rsidP="006446BE">
      <w:pPr>
        <w:jc w:val="both"/>
      </w:pPr>
      <w:r w:rsidRPr="001333EB">
        <w:t xml:space="preserve">Salgótarján, </w:t>
      </w:r>
      <w:r w:rsidR="00575AD1" w:rsidRPr="006E4083">
        <w:t>202</w:t>
      </w:r>
      <w:r w:rsidR="002F0C19">
        <w:t>4. január 26.</w:t>
      </w:r>
    </w:p>
    <w:p w:rsidR="00FB7E3D" w:rsidRPr="001333EB" w:rsidRDefault="00FB7E3D" w:rsidP="006446BE">
      <w:pPr>
        <w:jc w:val="both"/>
      </w:pPr>
    </w:p>
    <w:p w:rsidR="006446BE" w:rsidRPr="001333EB" w:rsidRDefault="006446BE" w:rsidP="00FB7E3D">
      <w:pPr>
        <w:tabs>
          <w:tab w:val="center" w:pos="6804"/>
        </w:tabs>
        <w:jc w:val="both"/>
      </w:pPr>
      <w:r w:rsidRPr="001333EB">
        <w:tab/>
        <w:t>Méhes András</w:t>
      </w:r>
    </w:p>
    <w:p w:rsidR="009C738A" w:rsidRPr="00B93992" w:rsidRDefault="006446BE" w:rsidP="00FB7E3D">
      <w:pPr>
        <w:tabs>
          <w:tab w:val="center" w:pos="6804"/>
        </w:tabs>
        <w:jc w:val="both"/>
      </w:pPr>
      <w:r w:rsidRPr="001333EB">
        <w:tab/>
        <w:t>ügyvezető igazgató</w:t>
      </w:r>
    </w:p>
    <w:sectPr w:rsidR="009C738A" w:rsidRPr="00B93992" w:rsidSect="00823969">
      <w:pgSz w:w="11906" w:h="16838"/>
      <w:pgMar w:top="102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E46AC8"/>
    <w:multiLevelType w:val="hybridMultilevel"/>
    <w:tmpl w:val="C314915C"/>
    <w:lvl w:ilvl="0" w:tplc="30B040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5A721A"/>
    <w:multiLevelType w:val="hybridMultilevel"/>
    <w:tmpl w:val="50E2602A"/>
    <w:lvl w:ilvl="0" w:tplc="9B6A9ACC">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15:restartNumberingAfterBreak="0">
    <w:nsid w:val="13DC226F"/>
    <w:multiLevelType w:val="hybridMultilevel"/>
    <w:tmpl w:val="64CAFD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973B76"/>
    <w:multiLevelType w:val="hybridMultilevel"/>
    <w:tmpl w:val="5666E896"/>
    <w:lvl w:ilvl="0" w:tplc="DBE80078">
      <w:start w:val="3104"/>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9603ED6"/>
    <w:multiLevelType w:val="hybridMultilevel"/>
    <w:tmpl w:val="C7FA4EF6"/>
    <w:lvl w:ilvl="0" w:tplc="EE82B7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3B3E3C"/>
    <w:multiLevelType w:val="hybridMultilevel"/>
    <w:tmpl w:val="90FEE7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8718A2"/>
    <w:multiLevelType w:val="hybridMultilevel"/>
    <w:tmpl w:val="C314915C"/>
    <w:lvl w:ilvl="0" w:tplc="30B040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64385E"/>
    <w:multiLevelType w:val="hybridMultilevel"/>
    <w:tmpl w:val="3C004456"/>
    <w:lvl w:ilvl="0" w:tplc="AAFCFDCC">
      <w:start w:val="1"/>
      <w:numFmt w:val="decimal"/>
      <w:lvlText w:val="%1."/>
      <w:lvlJc w:val="left"/>
      <w:pPr>
        <w:ind w:left="430" w:hanging="360"/>
      </w:pPr>
      <w:rPr>
        <w:rFonts w:hint="default"/>
        <w:color w:val="auto"/>
      </w:rPr>
    </w:lvl>
    <w:lvl w:ilvl="1" w:tplc="040E0019" w:tentative="1">
      <w:start w:val="1"/>
      <w:numFmt w:val="lowerLetter"/>
      <w:lvlText w:val="%2."/>
      <w:lvlJc w:val="left"/>
      <w:pPr>
        <w:ind w:left="1150" w:hanging="360"/>
      </w:pPr>
    </w:lvl>
    <w:lvl w:ilvl="2" w:tplc="040E001B" w:tentative="1">
      <w:start w:val="1"/>
      <w:numFmt w:val="lowerRoman"/>
      <w:lvlText w:val="%3."/>
      <w:lvlJc w:val="right"/>
      <w:pPr>
        <w:ind w:left="1870" w:hanging="180"/>
      </w:pPr>
    </w:lvl>
    <w:lvl w:ilvl="3" w:tplc="040E000F" w:tentative="1">
      <w:start w:val="1"/>
      <w:numFmt w:val="decimal"/>
      <w:lvlText w:val="%4."/>
      <w:lvlJc w:val="left"/>
      <w:pPr>
        <w:ind w:left="2590" w:hanging="360"/>
      </w:pPr>
    </w:lvl>
    <w:lvl w:ilvl="4" w:tplc="040E0019" w:tentative="1">
      <w:start w:val="1"/>
      <w:numFmt w:val="lowerLetter"/>
      <w:lvlText w:val="%5."/>
      <w:lvlJc w:val="left"/>
      <w:pPr>
        <w:ind w:left="3310" w:hanging="360"/>
      </w:pPr>
    </w:lvl>
    <w:lvl w:ilvl="5" w:tplc="040E001B" w:tentative="1">
      <w:start w:val="1"/>
      <w:numFmt w:val="lowerRoman"/>
      <w:lvlText w:val="%6."/>
      <w:lvlJc w:val="right"/>
      <w:pPr>
        <w:ind w:left="4030" w:hanging="180"/>
      </w:pPr>
    </w:lvl>
    <w:lvl w:ilvl="6" w:tplc="040E000F" w:tentative="1">
      <w:start w:val="1"/>
      <w:numFmt w:val="decimal"/>
      <w:lvlText w:val="%7."/>
      <w:lvlJc w:val="left"/>
      <w:pPr>
        <w:ind w:left="4750" w:hanging="360"/>
      </w:pPr>
    </w:lvl>
    <w:lvl w:ilvl="7" w:tplc="040E0019" w:tentative="1">
      <w:start w:val="1"/>
      <w:numFmt w:val="lowerLetter"/>
      <w:lvlText w:val="%8."/>
      <w:lvlJc w:val="left"/>
      <w:pPr>
        <w:ind w:left="5470" w:hanging="360"/>
      </w:pPr>
    </w:lvl>
    <w:lvl w:ilvl="8" w:tplc="040E001B" w:tentative="1">
      <w:start w:val="1"/>
      <w:numFmt w:val="lowerRoman"/>
      <w:lvlText w:val="%9."/>
      <w:lvlJc w:val="right"/>
      <w:pPr>
        <w:ind w:left="6190" w:hanging="180"/>
      </w:pPr>
    </w:lvl>
  </w:abstractNum>
  <w:abstractNum w:abstractNumId="10" w15:restartNumberingAfterBreak="0">
    <w:nsid w:val="2F2F6BA7"/>
    <w:multiLevelType w:val="hybridMultilevel"/>
    <w:tmpl w:val="4BDC98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67614A4"/>
    <w:multiLevelType w:val="hybridMultilevel"/>
    <w:tmpl w:val="3248523A"/>
    <w:lvl w:ilvl="0" w:tplc="2AD243F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819597B"/>
    <w:multiLevelType w:val="hybridMultilevel"/>
    <w:tmpl w:val="DD62A758"/>
    <w:lvl w:ilvl="0" w:tplc="92E02A08">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9233839"/>
    <w:multiLevelType w:val="hybridMultilevel"/>
    <w:tmpl w:val="C314915C"/>
    <w:lvl w:ilvl="0" w:tplc="30B040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99B1C7F"/>
    <w:multiLevelType w:val="hybridMultilevel"/>
    <w:tmpl w:val="F3E2E336"/>
    <w:lvl w:ilvl="0" w:tplc="11369476">
      <w:start w:val="3104"/>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9CF00F8"/>
    <w:multiLevelType w:val="hybridMultilevel"/>
    <w:tmpl w:val="A110833C"/>
    <w:lvl w:ilvl="0" w:tplc="5FEA1F5A">
      <w:start w:val="1"/>
      <w:numFmt w:val="bullet"/>
      <w:lvlText w:val=""/>
      <w:lvlJc w:val="left"/>
      <w:pPr>
        <w:tabs>
          <w:tab w:val="num" w:pos="720"/>
        </w:tabs>
        <w:ind w:left="720" w:hanging="360"/>
      </w:pPr>
      <w:rPr>
        <w:rFonts w:ascii="Symbol" w:hAnsi="Symbol" w:hint="default"/>
      </w:rPr>
    </w:lvl>
    <w:lvl w:ilvl="1" w:tplc="3E2EB5E0" w:tentative="1">
      <w:start w:val="1"/>
      <w:numFmt w:val="lowerLetter"/>
      <w:lvlText w:val="%2."/>
      <w:lvlJc w:val="left"/>
      <w:pPr>
        <w:tabs>
          <w:tab w:val="num" w:pos="1440"/>
        </w:tabs>
        <w:ind w:left="1440" w:hanging="360"/>
      </w:pPr>
    </w:lvl>
    <w:lvl w:ilvl="2" w:tplc="FECC5E34" w:tentative="1">
      <w:start w:val="1"/>
      <w:numFmt w:val="lowerRoman"/>
      <w:lvlText w:val="%3."/>
      <w:lvlJc w:val="right"/>
      <w:pPr>
        <w:tabs>
          <w:tab w:val="num" w:pos="2160"/>
        </w:tabs>
        <w:ind w:left="2160" w:hanging="180"/>
      </w:pPr>
    </w:lvl>
    <w:lvl w:ilvl="3" w:tplc="7C78A538" w:tentative="1">
      <w:start w:val="1"/>
      <w:numFmt w:val="decimal"/>
      <w:lvlText w:val="%4."/>
      <w:lvlJc w:val="left"/>
      <w:pPr>
        <w:tabs>
          <w:tab w:val="num" w:pos="2880"/>
        </w:tabs>
        <w:ind w:left="2880" w:hanging="360"/>
      </w:pPr>
    </w:lvl>
    <w:lvl w:ilvl="4" w:tplc="E5241D34" w:tentative="1">
      <w:start w:val="1"/>
      <w:numFmt w:val="lowerLetter"/>
      <w:lvlText w:val="%5."/>
      <w:lvlJc w:val="left"/>
      <w:pPr>
        <w:tabs>
          <w:tab w:val="num" w:pos="3600"/>
        </w:tabs>
        <w:ind w:left="3600" w:hanging="360"/>
      </w:pPr>
    </w:lvl>
    <w:lvl w:ilvl="5" w:tplc="A7C0F52C" w:tentative="1">
      <w:start w:val="1"/>
      <w:numFmt w:val="lowerRoman"/>
      <w:lvlText w:val="%6."/>
      <w:lvlJc w:val="right"/>
      <w:pPr>
        <w:tabs>
          <w:tab w:val="num" w:pos="4320"/>
        </w:tabs>
        <w:ind w:left="4320" w:hanging="180"/>
      </w:pPr>
    </w:lvl>
    <w:lvl w:ilvl="6" w:tplc="1E7858D4" w:tentative="1">
      <w:start w:val="1"/>
      <w:numFmt w:val="decimal"/>
      <w:lvlText w:val="%7."/>
      <w:lvlJc w:val="left"/>
      <w:pPr>
        <w:tabs>
          <w:tab w:val="num" w:pos="5040"/>
        </w:tabs>
        <w:ind w:left="5040" w:hanging="360"/>
      </w:pPr>
    </w:lvl>
    <w:lvl w:ilvl="7" w:tplc="1E0AD722" w:tentative="1">
      <w:start w:val="1"/>
      <w:numFmt w:val="lowerLetter"/>
      <w:lvlText w:val="%8."/>
      <w:lvlJc w:val="left"/>
      <w:pPr>
        <w:tabs>
          <w:tab w:val="num" w:pos="5760"/>
        </w:tabs>
        <w:ind w:left="5760" w:hanging="360"/>
      </w:pPr>
    </w:lvl>
    <w:lvl w:ilvl="8" w:tplc="B8B81AB6" w:tentative="1">
      <w:start w:val="1"/>
      <w:numFmt w:val="lowerRoman"/>
      <w:lvlText w:val="%9."/>
      <w:lvlJc w:val="right"/>
      <w:pPr>
        <w:tabs>
          <w:tab w:val="num" w:pos="6480"/>
        </w:tabs>
        <w:ind w:left="6480" w:hanging="180"/>
      </w:pPr>
    </w:lvl>
  </w:abstractNum>
  <w:abstractNum w:abstractNumId="16" w15:restartNumberingAfterBreak="0">
    <w:nsid w:val="42050160"/>
    <w:multiLevelType w:val="hybridMultilevel"/>
    <w:tmpl w:val="53925DD6"/>
    <w:lvl w:ilvl="0" w:tplc="3AE61080">
      <w:start w:val="1"/>
      <w:numFmt w:val="decimal"/>
      <w:lvlText w:val="%1."/>
      <w:lvlJc w:val="left"/>
      <w:pPr>
        <w:ind w:left="644"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5756027"/>
    <w:multiLevelType w:val="hybridMultilevel"/>
    <w:tmpl w:val="FDD68264"/>
    <w:lvl w:ilvl="0" w:tplc="FFA2AE40">
      <w:start w:val="1"/>
      <w:numFmt w:val="lowerLetter"/>
      <w:lvlText w:val="%1)"/>
      <w:lvlJc w:val="left"/>
      <w:pPr>
        <w:ind w:left="1068" w:hanging="360"/>
      </w:pPr>
      <w:rPr>
        <w:rFonts w:hint="default"/>
        <w:i/>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45866843"/>
    <w:multiLevelType w:val="hybridMultilevel"/>
    <w:tmpl w:val="64CAFD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B3D22A9"/>
    <w:multiLevelType w:val="hybridMultilevel"/>
    <w:tmpl w:val="64CAFD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646DAF"/>
    <w:multiLevelType w:val="hybridMultilevel"/>
    <w:tmpl w:val="C314915C"/>
    <w:lvl w:ilvl="0" w:tplc="30B040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67A4040"/>
    <w:multiLevelType w:val="hybridMultilevel"/>
    <w:tmpl w:val="4B3457E8"/>
    <w:lvl w:ilvl="0" w:tplc="040E0013">
      <w:start w:val="1"/>
      <w:numFmt w:val="upp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58213F6D"/>
    <w:multiLevelType w:val="hybridMultilevel"/>
    <w:tmpl w:val="EE1406EE"/>
    <w:lvl w:ilvl="0" w:tplc="92E02A08">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BEF3129"/>
    <w:multiLevelType w:val="hybridMultilevel"/>
    <w:tmpl w:val="6860BC0A"/>
    <w:lvl w:ilvl="0" w:tplc="FFA2AE40">
      <w:start w:val="1"/>
      <w:numFmt w:val="lowerLetter"/>
      <w:lvlText w:val="%1)"/>
      <w:lvlJc w:val="left"/>
      <w:pPr>
        <w:ind w:left="1137" w:hanging="57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4" w15:restartNumberingAfterBreak="0">
    <w:nsid w:val="61E37ECF"/>
    <w:multiLevelType w:val="hybridMultilevel"/>
    <w:tmpl w:val="51B0614E"/>
    <w:lvl w:ilvl="0" w:tplc="6D26E3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4874BB0"/>
    <w:multiLevelType w:val="hybridMultilevel"/>
    <w:tmpl w:val="B4AE14B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23F2BB0"/>
    <w:multiLevelType w:val="singleLevel"/>
    <w:tmpl w:val="6D26E3D2"/>
    <w:lvl w:ilvl="0">
      <w:start w:val="1"/>
      <w:numFmt w:val="bullet"/>
      <w:lvlText w:val=""/>
      <w:lvlJc w:val="left"/>
      <w:pPr>
        <w:ind w:left="720" w:hanging="360"/>
      </w:pPr>
      <w:rPr>
        <w:rFonts w:ascii="Symbol" w:hAnsi="Symbol" w:hint="default"/>
      </w:rPr>
    </w:lvl>
  </w:abstractNum>
  <w:abstractNum w:abstractNumId="27" w15:restartNumberingAfterBreak="0">
    <w:nsid w:val="724A4D4A"/>
    <w:multiLevelType w:val="hybridMultilevel"/>
    <w:tmpl w:val="64CAFD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A0B4FA7"/>
    <w:multiLevelType w:val="hybridMultilevel"/>
    <w:tmpl w:val="C314915C"/>
    <w:lvl w:ilvl="0" w:tplc="30B040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F4F5225"/>
    <w:multiLevelType w:val="hybridMultilevel"/>
    <w:tmpl w:val="51E88978"/>
    <w:lvl w:ilvl="0" w:tplc="8DA2E5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26"/>
  </w:num>
  <w:num w:numId="6">
    <w:abstractNumId w:val="24"/>
  </w:num>
  <w:num w:numId="7">
    <w:abstractNumId w:val="0"/>
  </w:num>
  <w:num w:numId="8">
    <w:abstractNumId w:val="15"/>
  </w:num>
  <w:num w:numId="9">
    <w:abstractNumId w:val="3"/>
  </w:num>
  <w:num w:numId="10">
    <w:abstractNumId w:val="25"/>
  </w:num>
  <w:num w:numId="11">
    <w:abstractNumId w:val="21"/>
  </w:num>
  <w:num w:numId="12">
    <w:abstractNumId w:val="16"/>
  </w:num>
  <w:num w:numId="13">
    <w:abstractNumId w:val="9"/>
  </w:num>
  <w:num w:numId="14">
    <w:abstractNumId w:val="11"/>
  </w:num>
  <w:num w:numId="15">
    <w:abstractNumId w:val="12"/>
  </w:num>
  <w:num w:numId="16">
    <w:abstractNumId w:val="5"/>
  </w:num>
  <w:num w:numId="17">
    <w:abstractNumId w:val="14"/>
  </w:num>
  <w:num w:numId="18">
    <w:abstractNumId w:val="23"/>
  </w:num>
  <w:num w:numId="19">
    <w:abstractNumId w:val="10"/>
  </w:num>
  <w:num w:numId="20">
    <w:abstractNumId w:val="17"/>
  </w:num>
  <w:num w:numId="21">
    <w:abstractNumId w:val="13"/>
  </w:num>
  <w:num w:numId="22">
    <w:abstractNumId w:val="28"/>
  </w:num>
  <w:num w:numId="23">
    <w:abstractNumId w:val="2"/>
  </w:num>
  <w:num w:numId="24">
    <w:abstractNumId w:val="29"/>
  </w:num>
  <w:num w:numId="25">
    <w:abstractNumId w:val="8"/>
  </w:num>
  <w:num w:numId="26">
    <w:abstractNumId w:val="20"/>
  </w:num>
  <w:num w:numId="27">
    <w:abstractNumId w:val="27"/>
  </w:num>
  <w:num w:numId="28">
    <w:abstractNumId w:val="7"/>
  </w:num>
  <w:num w:numId="29">
    <w:abstractNumId w:val="4"/>
  </w:num>
  <w:num w:numId="30">
    <w:abstractNumId w:val="18"/>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6B"/>
    <w:rsid w:val="00001B24"/>
    <w:rsid w:val="000034D3"/>
    <w:rsid w:val="00004D4D"/>
    <w:rsid w:val="000067F7"/>
    <w:rsid w:val="00015A87"/>
    <w:rsid w:val="00026F68"/>
    <w:rsid w:val="00046DE4"/>
    <w:rsid w:val="000526F5"/>
    <w:rsid w:val="00053EC5"/>
    <w:rsid w:val="00057EBA"/>
    <w:rsid w:val="00067304"/>
    <w:rsid w:val="000725D9"/>
    <w:rsid w:val="00080CF2"/>
    <w:rsid w:val="0009198A"/>
    <w:rsid w:val="00091AD0"/>
    <w:rsid w:val="000A21C6"/>
    <w:rsid w:val="000A21DB"/>
    <w:rsid w:val="000B0DA8"/>
    <w:rsid w:val="000B1391"/>
    <w:rsid w:val="000B7B99"/>
    <w:rsid w:val="000C1208"/>
    <w:rsid w:val="000C2C16"/>
    <w:rsid w:val="000C688B"/>
    <w:rsid w:val="000D4ED9"/>
    <w:rsid w:val="000E1E4D"/>
    <w:rsid w:val="000E1F92"/>
    <w:rsid w:val="000E3D39"/>
    <w:rsid w:val="000E60CD"/>
    <w:rsid w:val="000F6365"/>
    <w:rsid w:val="001059C5"/>
    <w:rsid w:val="0010680E"/>
    <w:rsid w:val="001072BE"/>
    <w:rsid w:val="00117F9C"/>
    <w:rsid w:val="001253C0"/>
    <w:rsid w:val="00126882"/>
    <w:rsid w:val="00131D7A"/>
    <w:rsid w:val="001322A5"/>
    <w:rsid w:val="001333EB"/>
    <w:rsid w:val="00135343"/>
    <w:rsid w:val="00135427"/>
    <w:rsid w:val="00162481"/>
    <w:rsid w:val="00163B8B"/>
    <w:rsid w:val="00170763"/>
    <w:rsid w:val="00171675"/>
    <w:rsid w:val="001775AC"/>
    <w:rsid w:val="00184CA0"/>
    <w:rsid w:val="00192B6E"/>
    <w:rsid w:val="001A3654"/>
    <w:rsid w:val="001A4EF5"/>
    <w:rsid w:val="001A5162"/>
    <w:rsid w:val="001A66C8"/>
    <w:rsid w:val="001B0F1D"/>
    <w:rsid w:val="001B4A9C"/>
    <w:rsid w:val="001C2A1E"/>
    <w:rsid w:val="001C48C8"/>
    <w:rsid w:val="001D3192"/>
    <w:rsid w:val="001F71AF"/>
    <w:rsid w:val="001F76A7"/>
    <w:rsid w:val="00203E33"/>
    <w:rsid w:val="002114B1"/>
    <w:rsid w:val="00217790"/>
    <w:rsid w:val="0022122D"/>
    <w:rsid w:val="00222244"/>
    <w:rsid w:val="0022418D"/>
    <w:rsid w:val="0022494B"/>
    <w:rsid w:val="00231A04"/>
    <w:rsid w:val="00234875"/>
    <w:rsid w:val="00236E8A"/>
    <w:rsid w:val="0024608B"/>
    <w:rsid w:val="00252460"/>
    <w:rsid w:val="00256A08"/>
    <w:rsid w:val="00257D38"/>
    <w:rsid w:val="00261A80"/>
    <w:rsid w:val="00262217"/>
    <w:rsid w:val="00266BC0"/>
    <w:rsid w:val="00271C6F"/>
    <w:rsid w:val="0027352E"/>
    <w:rsid w:val="00282A77"/>
    <w:rsid w:val="002900BA"/>
    <w:rsid w:val="0029070C"/>
    <w:rsid w:val="0029178C"/>
    <w:rsid w:val="00291DD3"/>
    <w:rsid w:val="00294D36"/>
    <w:rsid w:val="00294E13"/>
    <w:rsid w:val="002A2FF4"/>
    <w:rsid w:val="002A78B2"/>
    <w:rsid w:val="002B054A"/>
    <w:rsid w:val="002B1C9F"/>
    <w:rsid w:val="002B4927"/>
    <w:rsid w:val="002D455C"/>
    <w:rsid w:val="002F0C19"/>
    <w:rsid w:val="002F1861"/>
    <w:rsid w:val="002F48DD"/>
    <w:rsid w:val="002F7C61"/>
    <w:rsid w:val="00312031"/>
    <w:rsid w:val="0031594D"/>
    <w:rsid w:val="00315AAA"/>
    <w:rsid w:val="00320658"/>
    <w:rsid w:val="00323383"/>
    <w:rsid w:val="00331266"/>
    <w:rsid w:val="0033775E"/>
    <w:rsid w:val="00351C09"/>
    <w:rsid w:val="0037196E"/>
    <w:rsid w:val="00371D23"/>
    <w:rsid w:val="003754A7"/>
    <w:rsid w:val="00384F67"/>
    <w:rsid w:val="00396773"/>
    <w:rsid w:val="003977DC"/>
    <w:rsid w:val="00397A0D"/>
    <w:rsid w:val="003A7CAA"/>
    <w:rsid w:val="003B55B5"/>
    <w:rsid w:val="003C0646"/>
    <w:rsid w:val="003C1644"/>
    <w:rsid w:val="003C6AD7"/>
    <w:rsid w:val="003D06A5"/>
    <w:rsid w:val="003D4917"/>
    <w:rsid w:val="003D55E4"/>
    <w:rsid w:val="003E1084"/>
    <w:rsid w:val="003E4ED1"/>
    <w:rsid w:val="003F028A"/>
    <w:rsid w:val="003F3EC7"/>
    <w:rsid w:val="00405D72"/>
    <w:rsid w:val="004145F2"/>
    <w:rsid w:val="00415DF8"/>
    <w:rsid w:val="00430305"/>
    <w:rsid w:val="00436C1C"/>
    <w:rsid w:val="004371F6"/>
    <w:rsid w:val="004405E6"/>
    <w:rsid w:val="004538D0"/>
    <w:rsid w:val="004562BD"/>
    <w:rsid w:val="00457612"/>
    <w:rsid w:val="00460D59"/>
    <w:rsid w:val="00462820"/>
    <w:rsid w:val="0046507D"/>
    <w:rsid w:val="00470870"/>
    <w:rsid w:val="00470923"/>
    <w:rsid w:val="004853C4"/>
    <w:rsid w:val="004928AF"/>
    <w:rsid w:val="0049466E"/>
    <w:rsid w:val="004956AD"/>
    <w:rsid w:val="00496EF4"/>
    <w:rsid w:val="004A1768"/>
    <w:rsid w:val="004A2403"/>
    <w:rsid w:val="004A42BD"/>
    <w:rsid w:val="004A631B"/>
    <w:rsid w:val="004A7D1A"/>
    <w:rsid w:val="004A7E54"/>
    <w:rsid w:val="004C4B98"/>
    <w:rsid w:val="004D3E20"/>
    <w:rsid w:val="004D7552"/>
    <w:rsid w:val="004E30C9"/>
    <w:rsid w:val="004E3709"/>
    <w:rsid w:val="004F5F51"/>
    <w:rsid w:val="00507026"/>
    <w:rsid w:val="00511957"/>
    <w:rsid w:val="00512EA4"/>
    <w:rsid w:val="00516051"/>
    <w:rsid w:val="005378EA"/>
    <w:rsid w:val="00540B73"/>
    <w:rsid w:val="00543F25"/>
    <w:rsid w:val="00556037"/>
    <w:rsid w:val="00556AEC"/>
    <w:rsid w:val="005635F7"/>
    <w:rsid w:val="005734EA"/>
    <w:rsid w:val="00575AD1"/>
    <w:rsid w:val="00586F72"/>
    <w:rsid w:val="00594973"/>
    <w:rsid w:val="00594FCE"/>
    <w:rsid w:val="005A3B13"/>
    <w:rsid w:val="005B2180"/>
    <w:rsid w:val="005B53C1"/>
    <w:rsid w:val="005C01E3"/>
    <w:rsid w:val="005C6E39"/>
    <w:rsid w:val="005D4DB6"/>
    <w:rsid w:val="005E5834"/>
    <w:rsid w:val="00600D1E"/>
    <w:rsid w:val="00601F50"/>
    <w:rsid w:val="00601F9D"/>
    <w:rsid w:val="00604E6B"/>
    <w:rsid w:val="0060542F"/>
    <w:rsid w:val="00613D7C"/>
    <w:rsid w:val="00617E0F"/>
    <w:rsid w:val="00626FC5"/>
    <w:rsid w:val="0063095D"/>
    <w:rsid w:val="00637973"/>
    <w:rsid w:val="006446BE"/>
    <w:rsid w:val="00652C79"/>
    <w:rsid w:val="00653224"/>
    <w:rsid w:val="00667030"/>
    <w:rsid w:val="00671CE2"/>
    <w:rsid w:val="006764A2"/>
    <w:rsid w:val="00690DE3"/>
    <w:rsid w:val="006936BF"/>
    <w:rsid w:val="006960E2"/>
    <w:rsid w:val="006962E0"/>
    <w:rsid w:val="006A3FD9"/>
    <w:rsid w:val="006B1BF7"/>
    <w:rsid w:val="006B259C"/>
    <w:rsid w:val="006B61C3"/>
    <w:rsid w:val="006B641D"/>
    <w:rsid w:val="006B6B93"/>
    <w:rsid w:val="006C3589"/>
    <w:rsid w:val="006C79D9"/>
    <w:rsid w:val="006C7CE4"/>
    <w:rsid w:val="006D28DB"/>
    <w:rsid w:val="006D51CB"/>
    <w:rsid w:val="006E282F"/>
    <w:rsid w:val="006E2D76"/>
    <w:rsid w:val="006E4083"/>
    <w:rsid w:val="006E4335"/>
    <w:rsid w:val="006E7DC4"/>
    <w:rsid w:val="006F1CC3"/>
    <w:rsid w:val="006F61B4"/>
    <w:rsid w:val="007032E8"/>
    <w:rsid w:val="007140C5"/>
    <w:rsid w:val="0072030F"/>
    <w:rsid w:val="00726B55"/>
    <w:rsid w:val="007347B1"/>
    <w:rsid w:val="00735784"/>
    <w:rsid w:val="007419DE"/>
    <w:rsid w:val="0075069A"/>
    <w:rsid w:val="00755D30"/>
    <w:rsid w:val="0076596A"/>
    <w:rsid w:val="007668E9"/>
    <w:rsid w:val="007673C0"/>
    <w:rsid w:val="00773B53"/>
    <w:rsid w:val="00785739"/>
    <w:rsid w:val="00785B79"/>
    <w:rsid w:val="007860B9"/>
    <w:rsid w:val="00787127"/>
    <w:rsid w:val="00787231"/>
    <w:rsid w:val="00794B0A"/>
    <w:rsid w:val="007A79E0"/>
    <w:rsid w:val="007B505C"/>
    <w:rsid w:val="007C0222"/>
    <w:rsid w:val="007D3E46"/>
    <w:rsid w:val="007D7D0A"/>
    <w:rsid w:val="007E14BE"/>
    <w:rsid w:val="007E196C"/>
    <w:rsid w:val="007E50F2"/>
    <w:rsid w:val="007F1B81"/>
    <w:rsid w:val="00800CD3"/>
    <w:rsid w:val="00811308"/>
    <w:rsid w:val="00823969"/>
    <w:rsid w:val="00834E96"/>
    <w:rsid w:val="00835F8C"/>
    <w:rsid w:val="00843B55"/>
    <w:rsid w:val="00844888"/>
    <w:rsid w:val="00853377"/>
    <w:rsid w:val="0087021D"/>
    <w:rsid w:val="008703D7"/>
    <w:rsid w:val="00872CD4"/>
    <w:rsid w:val="00876D5F"/>
    <w:rsid w:val="00887BEE"/>
    <w:rsid w:val="00890519"/>
    <w:rsid w:val="008939C1"/>
    <w:rsid w:val="00897F70"/>
    <w:rsid w:val="008A338F"/>
    <w:rsid w:val="008A5FD5"/>
    <w:rsid w:val="008A75CE"/>
    <w:rsid w:val="008B0320"/>
    <w:rsid w:val="008B3DC2"/>
    <w:rsid w:val="008C5EFD"/>
    <w:rsid w:val="008D2FE3"/>
    <w:rsid w:val="008D481F"/>
    <w:rsid w:val="008F3B17"/>
    <w:rsid w:val="00903E06"/>
    <w:rsid w:val="00905396"/>
    <w:rsid w:val="009113F6"/>
    <w:rsid w:val="0092244E"/>
    <w:rsid w:val="00930B65"/>
    <w:rsid w:val="00935448"/>
    <w:rsid w:val="0093706E"/>
    <w:rsid w:val="00952A6D"/>
    <w:rsid w:val="009532E0"/>
    <w:rsid w:val="0095718C"/>
    <w:rsid w:val="009608F5"/>
    <w:rsid w:val="00962794"/>
    <w:rsid w:val="00963FD4"/>
    <w:rsid w:val="00967032"/>
    <w:rsid w:val="00974B76"/>
    <w:rsid w:val="00982F35"/>
    <w:rsid w:val="009874E3"/>
    <w:rsid w:val="0099010E"/>
    <w:rsid w:val="00995BBF"/>
    <w:rsid w:val="009A2D1B"/>
    <w:rsid w:val="009A608B"/>
    <w:rsid w:val="009A6382"/>
    <w:rsid w:val="009C26DC"/>
    <w:rsid w:val="009C738A"/>
    <w:rsid w:val="009C7E17"/>
    <w:rsid w:val="009D0B5A"/>
    <w:rsid w:val="009D2EB3"/>
    <w:rsid w:val="009E021D"/>
    <w:rsid w:val="009E355F"/>
    <w:rsid w:val="009E7A1F"/>
    <w:rsid w:val="009F1C61"/>
    <w:rsid w:val="009F4E05"/>
    <w:rsid w:val="00A0509F"/>
    <w:rsid w:val="00A10108"/>
    <w:rsid w:val="00A16B90"/>
    <w:rsid w:val="00A1749F"/>
    <w:rsid w:val="00A22F52"/>
    <w:rsid w:val="00A3507C"/>
    <w:rsid w:val="00A40018"/>
    <w:rsid w:val="00A40CE0"/>
    <w:rsid w:val="00A44950"/>
    <w:rsid w:val="00A5166F"/>
    <w:rsid w:val="00A612C8"/>
    <w:rsid w:val="00A67E97"/>
    <w:rsid w:val="00A73CE4"/>
    <w:rsid w:val="00A751C4"/>
    <w:rsid w:val="00A77021"/>
    <w:rsid w:val="00A805A3"/>
    <w:rsid w:val="00A85B8C"/>
    <w:rsid w:val="00A85E2C"/>
    <w:rsid w:val="00A964FD"/>
    <w:rsid w:val="00AB1D31"/>
    <w:rsid w:val="00AB7E99"/>
    <w:rsid w:val="00AC107F"/>
    <w:rsid w:val="00AC2164"/>
    <w:rsid w:val="00AC51CA"/>
    <w:rsid w:val="00AC7FB4"/>
    <w:rsid w:val="00AE2519"/>
    <w:rsid w:val="00AE4901"/>
    <w:rsid w:val="00B02601"/>
    <w:rsid w:val="00B06A2E"/>
    <w:rsid w:val="00B22FEE"/>
    <w:rsid w:val="00B23EC2"/>
    <w:rsid w:val="00B25411"/>
    <w:rsid w:val="00B40896"/>
    <w:rsid w:val="00B41A89"/>
    <w:rsid w:val="00B42526"/>
    <w:rsid w:val="00B44210"/>
    <w:rsid w:val="00B44385"/>
    <w:rsid w:val="00B47B6F"/>
    <w:rsid w:val="00B50B88"/>
    <w:rsid w:val="00B53A16"/>
    <w:rsid w:val="00B60E9A"/>
    <w:rsid w:val="00B64855"/>
    <w:rsid w:val="00B70BFB"/>
    <w:rsid w:val="00B73B02"/>
    <w:rsid w:val="00B744A1"/>
    <w:rsid w:val="00B76354"/>
    <w:rsid w:val="00B93992"/>
    <w:rsid w:val="00B949DD"/>
    <w:rsid w:val="00B94B56"/>
    <w:rsid w:val="00BA112D"/>
    <w:rsid w:val="00BA1D55"/>
    <w:rsid w:val="00BD50F4"/>
    <w:rsid w:val="00BD60F5"/>
    <w:rsid w:val="00BE1A8D"/>
    <w:rsid w:val="00BE4274"/>
    <w:rsid w:val="00BF1D5A"/>
    <w:rsid w:val="00C02B36"/>
    <w:rsid w:val="00C02FC6"/>
    <w:rsid w:val="00C0740A"/>
    <w:rsid w:val="00C24AE8"/>
    <w:rsid w:val="00C25FD0"/>
    <w:rsid w:val="00C27720"/>
    <w:rsid w:val="00C30D71"/>
    <w:rsid w:val="00C62323"/>
    <w:rsid w:val="00C65ACF"/>
    <w:rsid w:val="00C7370F"/>
    <w:rsid w:val="00C74462"/>
    <w:rsid w:val="00C75764"/>
    <w:rsid w:val="00C85488"/>
    <w:rsid w:val="00CA60C3"/>
    <w:rsid w:val="00CB1FEE"/>
    <w:rsid w:val="00CB50FB"/>
    <w:rsid w:val="00CC0CD1"/>
    <w:rsid w:val="00CC270F"/>
    <w:rsid w:val="00CC3079"/>
    <w:rsid w:val="00CE2CC6"/>
    <w:rsid w:val="00D004A5"/>
    <w:rsid w:val="00D06472"/>
    <w:rsid w:val="00D14618"/>
    <w:rsid w:val="00D20A4E"/>
    <w:rsid w:val="00D409C7"/>
    <w:rsid w:val="00D46064"/>
    <w:rsid w:val="00D46DB6"/>
    <w:rsid w:val="00D56C08"/>
    <w:rsid w:val="00D652C5"/>
    <w:rsid w:val="00D807F3"/>
    <w:rsid w:val="00D84490"/>
    <w:rsid w:val="00D90D59"/>
    <w:rsid w:val="00D9385C"/>
    <w:rsid w:val="00D94E37"/>
    <w:rsid w:val="00D95616"/>
    <w:rsid w:val="00DA1507"/>
    <w:rsid w:val="00DA30CC"/>
    <w:rsid w:val="00DA5CD3"/>
    <w:rsid w:val="00DD2D77"/>
    <w:rsid w:val="00DD4D40"/>
    <w:rsid w:val="00DE3C1E"/>
    <w:rsid w:val="00DE40E2"/>
    <w:rsid w:val="00DE77A7"/>
    <w:rsid w:val="00DE793C"/>
    <w:rsid w:val="00DF0446"/>
    <w:rsid w:val="00DF0C35"/>
    <w:rsid w:val="00DF3BCD"/>
    <w:rsid w:val="00E000C8"/>
    <w:rsid w:val="00E05217"/>
    <w:rsid w:val="00E058A8"/>
    <w:rsid w:val="00E073FE"/>
    <w:rsid w:val="00E15FA9"/>
    <w:rsid w:val="00E269C1"/>
    <w:rsid w:val="00E60090"/>
    <w:rsid w:val="00E6308F"/>
    <w:rsid w:val="00E819A7"/>
    <w:rsid w:val="00E82078"/>
    <w:rsid w:val="00E863D6"/>
    <w:rsid w:val="00E9444D"/>
    <w:rsid w:val="00E963C3"/>
    <w:rsid w:val="00EA19BD"/>
    <w:rsid w:val="00EA5259"/>
    <w:rsid w:val="00EB0EFB"/>
    <w:rsid w:val="00EB1FAB"/>
    <w:rsid w:val="00EB4290"/>
    <w:rsid w:val="00EB60C7"/>
    <w:rsid w:val="00EC71C4"/>
    <w:rsid w:val="00ED5BCA"/>
    <w:rsid w:val="00F0267C"/>
    <w:rsid w:val="00F02DA4"/>
    <w:rsid w:val="00F0684A"/>
    <w:rsid w:val="00F15035"/>
    <w:rsid w:val="00F16AC9"/>
    <w:rsid w:val="00F23987"/>
    <w:rsid w:val="00F3268C"/>
    <w:rsid w:val="00F33FCC"/>
    <w:rsid w:val="00F46B12"/>
    <w:rsid w:val="00F57241"/>
    <w:rsid w:val="00F62342"/>
    <w:rsid w:val="00F63BD2"/>
    <w:rsid w:val="00F86F67"/>
    <w:rsid w:val="00F93F92"/>
    <w:rsid w:val="00F9509D"/>
    <w:rsid w:val="00FA09C1"/>
    <w:rsid w:val="00FB1F76"/>
    <w:rsid w:val="00FB2A2E"/>
    <w:rsid w:val="00FB6F67"/>
    <w:rsid w:val="00FB7E3D"/>
    <w:rsid w:val="00FC09A9"/>
    <w:rsid w:val="00FC67EB"/>
    <w:rsid w:val="00FD22F0"/>
    <w:rsid w:val="00FD72FB"/>
    <w:rsid w:val="00FE5B14"/>
    <w:rsid w:val="00FF20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8C87"/>
  <w15:docId w15:val="{64F48DCB-D0E1-4273-BC62-9C96D11F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04E6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EA19BD"/>
    <w:pPr>
      <w:keepNext/>
      <w:numPr>
        <w:numId w:val="2"/>
      </w:numPr>
      <w:suppressAutoHyphens/>
      <w:outlineLvl w:val="0"/>
    </w:pPr>
    <w:rPr>
      <w:b/>
      <w:bCs/>
      <w:u w:val="single"/>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604E6B"/>
    <w:pPr>
      <w:jc w:val="center"/>
    </w:pPr>
    <w:rPr>
      <w:b/>
      <w:bCs/>
      <w:sz w:val="28"/>
    </w:rPr>
  </w:style>
  <w:style w:type="character" w:customStyle="1" w:styleId="CmChar">
    <w:name w:val="Cím Char"/>
    <w:basedOn w:val="Bekezdsalapbettpusa"/>
    <w:link w:val="Cm"/>
    <w:rsid w:val="00604E6B"/>
    <w:rPr>
      <w:rFonts w:ascii="Times New Roman" w:eastAsia="Times New Roman" w:hAnsi="Times New Roman" w:cs="Times New Roman"/>
      <w:b/>
      <w:bCs/>
      <w:sz w:val="28"/>
      <w:szCs w:val="24"/>
      <w:lang w:eastAsia="hu-HU"/>
    </w:rPr>
  </w:style>
  <w:style w:type="character" w:styleId="Hiperhivatkozs">
    <w:name w:val="Hyperlink"/>
    <w:basedOn w:val="Bekezdsalapbettpusa"/>
    <w:uiPriority w:val="99"/>
    <w:unhideWhenUsed/>
    <w:rsid w:val="00604E6B"/>
    <w:rPr>
      <w:color w:val="0000FF" w:themeColor="hyperlink"/>
      <w:u w:val="single"/>
    </w:rPr>
  </w:style>
  <w:style w:type="paragraph" w:styleId="NormlWeb">
    <w:name w:val="Normal (Web)"/>
    <w:basedOn w:val="Norml"/>
    <w:unhideWhenUsed/>
    <w:rsid w:val="00604E6B"/>
    <w:pPr>
      <w:spacing w:before="100" w:beforeAutospacing="1" w:after="100" w:afterAutospacing="1"/>
    </w:pPr>
  </w:style>
  <w:style w:type="character" w:customStyle="1" w:styleId="Cmsor1Char">
    <w:name w:val="Címsor 1 Char"/>
    <w:basedOn w:val="Bekezdsalapbettpusa"/>
    <w:link w:val="Cmsor1"/>
    <w:rsid w:val="00EA19BD"/>
    <w:rPr>
      <w:rFonts w:ascii="Times New Roman" w:eastAsia="Times New Roman" w:hAnsi="Times New Roman" w:cs="Times New Roman"/>
      <w:b/>
      <w:bCs/>
      <w:sz w:val="24"/>
      <w:szCs w:val="24"/>
      <w:u w:val="single"/>
      <w:lang w:eastAsia="ar-SA"/>
    </w:rPr>
  </w:style>
  <w:style w:type="paragraph" w:styleId="Szvegtrzs">
    <w:name w:val="Body Text"/>
    <w:basedOn w:val="Norml"/>
    <w:link w:val="SzvegtrzsChar"/>
    <w:rsid w:val="00EA19BD"/>
    <w:pPr>
      <w:suppressAutoHyphens/>
      <w:jc w:val="both"/>
    </w:pPr>
    <w:rPr>
      <w:lang w:eastAsia="ar-SA"/>
    </w:rPr>
  </w:style>
  <w:style w:type="character" w:customStyle="1" w:styleId="SzvegtrzsChar">
    <w:name w:val="Szövegtörzs Char"/>
    <w:basedOn w:val="Bekezdsalapbettpusa"/>
    <w:link w:val="Szvegtrzs"/>
    <w:rsid w:val="00EA19BD"/>
    <w:rPr>
      <w:rFonts w:ascii="Times New Roman" w:eastAsia="Times New Roman" w:hAnsi="Times New Roman" w:cs="Times New Roman"/>
      <w:sz w:val="24"/>
      <w:szCs w:val="24"/>
      <w:lang w:eastAsia="ar-SA"/>
    </w:rPr>
  </w:style>
  <w:style w:type="paragraph" w:customStyle="1" w:styleId="Szvegtrzs31">
    <w:name w:val="Szövegtörzs 31"/>
    <w:basedOn w:val="Norml"/>
    <w:rsid w:val="00EA19BD"/>
    <w:pPr>
      <w:suppressAutoHyphens/>
      <w:spacing w:after="120"/>
    </w:pPr>
    <w:rPr>
      <w:sz w:val="16"/>
      <w:szCs w:val="16"/>
      <w:lang w:eastAsia="ar-SA"/>
    </w:rPr>
  </w:style>
  <w:style w:type="paragraph" w:styleId="Listaszerbekezds">
    <w:name w:val="List Paragraph"/>
    <w:basedOn w:val="Norml"/>
    <w:uiPriority w:val="34"/>
    <w:qFormat/>
    <w:rsid w:val="00EA19BD"/>
    <w:pPr>
      <w:suppressAutoHyphens/>
      <w:ind w:left="720"/>
      <w:contextualSpacing/>
    </w:pPr>
    <w:rPr>
      <w:lang w:eastAsia="ar-SA"/>
    </w:rPr>
  </w:style>
  <w:style w:type="paragraph" w:styleId="lfej">
    <w:name w:val="header"/>
    <w:basedOn w:val="Norml"/>
    <w:link w:val="lfejChar"/>
    <w:semiHidden/>
    <w:rsid w:val="00EA19BD"/>
    <w:pPr>
      <w:tabs>
        <w:tab w:val="center" w:pos="4536"/>
        <w:tab w:val="right" w:pos="9072"/>
      </w:tabs>
    </w:pPr>
  </w:style>
  <w:style w:type="character" w:customStyle="1" w:styleId="lfejChar">
    <w:name w:val="Élőfej Char"/>
    <w:basedOn w:val="Bekezdsalapbettpusa"/>
    <w:link w:val="lfej"/>
    <w:semiHidden/>
    <w:rsid w:val="00EA19BD"/>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unhideWhenUsed/>
    <w:rsid w:val="00EA19BD"/>
    <w:pPr>
      <w:spacing w:after="120" w:line="480" w:lineRule="auto"/>
      <w:ind w:left="283"/>
    </w:pPr>
  </w:style>
  <w:style w:type="character" w:customStyle="1" w:styleId="Szvegtrzsbehzssal2Char">
    <w:name w:val="Szövegtörzs behúzással 2 Char"/>
    <w:basedOn w:val="Bekezdsalapbettpusa"/>
    <w:link w:val="Szvegtrzsbehzssal2"/>
    <w:uiPriority w:val="99"/>
    <w:rsid w:val="00EA19B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863D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63D6"/>
    <w:rPr>
      <w:rFonts w:ascii="Segoe UI" w:eastAsia="Times New Roman" w:hAnsi="Segoe UI" w:cs="Segoe UI"/>
      <w:sz w:val="18"/>
      <w:szCs w:val="18"/>
      <w:lang w:eastAsia="hu-HU"/>
    </w:rPr>
  </w:style>
  <w:style w:type="paragraph" w:customStyle="1" w:styleId="Alaprtelmezett">
    <w:name w:val="Alapértelmezett"/>
    <w:rsid w:val="00CA60C3"/>
    <w:pPr>
      <w:tabs>
        <w:tab w:val="left" w:pos="708"/>
      </w:tabs>
      <w:suppressAutoHyphens/>
      <w:spacing w:after="160" w:line="259" w:lineRule="atLeast"/>
    </w:pPr>
    <w:rPr>
      <w:rFonts w:ascii="Times New Roman" w:eastAsia="Lucida Sans Unicode" w:hAnsi="Times New Roman" w:cs="Mangal"/>
      <w:color w:val="00000A"/>
      <w:sz w:val="20"/>
      <w:szCs w:val="20"/>
      <w:lang w:eastAsia="zh-CN" w:bidi="hi-IN"/>
    </w:rPr>
  </w:style>
  <w:style w:type="character" w:customStyle="1" w:styleId="Internet-hivatkozs">
    <w:name w:val="Internet-hivatkozás"/>
    <w:rsid w:val="00CA60C3"/>
    <w:rPr>
      <w:color w:val="000080"/>
      <w:u w:val="single"/>
      <w:lang w:val="hu-HU" w:eastAsia="hu-HU" w:bidi="hu-HU"/>
    </w:rPr>
  </w:style>
  <w:style w:type="paragraph" w:styleId="Nincstrkz">
    <w:name w:val="No Spacing"/>
    <w:uiPriority w:val="1"/>
    <w:qFormat/>
    <w:rsid w:val="005635F7"/>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CC0CD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937">
      <w:bodyDiv w:val="1"/>
      <w:marLeft w:val="0"/>
      <w:marRight w:val="0"/>
      <w:marTop w:val="0"/>
      <w:marBottom w:val="0"/>
      <w:divBdr>
        <w:top w:val="none" w:sz="0" w:space="0" w:color="auto"/>
        <w:left w:val="none" w:sz="0" w:space="0" w:color="auto"/>
        <w:bottom w:val="none" w:sz="0" w:space="0" w:color="auto"/>
        <w:right w:val="none" w:sz="0" w:space="0" w:color="auto"/>
      </w:divBdr>
    </w:div>
    <w:div w:id="130175936">
      <w:bodyDiv w:val="1"/>
      <w:marLeft w:val="0"/>
      <w:marRight w:val="0"/>
      <w:marTop w:val="0"/>
      <w:marBottom w:val="0"/>
      <w:divBdr>
        <w:top w:val="none" w:sz="0" w:space="0" w:color="auto"/>
        <w:left w:val="none" w:sz="0" w:space="0" w:color="auto"/>
        <w:bottom w:val="none" w:sz="0" w:space="0" w:color="auto"/>
        <w:right w:val="none" w:sz="0" w:space="0" w:color="auto"/>
      </w:divBdr>
    </w:div>
    <w:div w:id="171266841">
      <w:bodyDiv w:val="1"/>
      <w:marLeft w:val="0"/>
      <w:marRight w:val="0"/>
      <w:marTop w:val="0"/>
      <w:marBottom w:val="0"/>
      <w:divBdr>
        <w:top w:val="none" w:sz="0" w:space="0" w:color="auto"/>
        <w:left w:val="none" w:sz="0" w:space="0" w:color="auto"/>
        <w:bottom w:val="none" w:sz="0" w:space="0" w:color="auto"/>
        <w:right w:val="none" w:sz="0" w:space="0" w:color="auto"/>
      </w:divBdr>
    </w:div>
    <w:div w:id="234240827">
      <w:bodyDiv w:val="1"/>
      <w:marLeft w:val="0"/>
      <w:marRight w:val="0"/>
      <w:marTop w:val="0"/>
      <w:marBottom w:val="0"/>
      <w:divBdr>
        <w:top w:val="none" w:sz="0" w:space="0" w:color="auto"/>
        <w:left w:val="none" w:sz="0" w:space="0" w:color="auto"/>
        <w:bottom w:val="none" w:sz="0" w:space="0" w:color="auto"/>
        <w:right w:val="none" w:sz="0" w:space="0" w:color="auto"/>
      </w:divBdr>
    </w:div>
    <w:div w:id="272515270">
      <w:bodyDiv w:val="1"/>
      <w:marLeft w:val="0"/>
      <w:marRight w:val="0"/>
      <w:marTop w:val="0"/>
      <w:marBottom w:val="0"/>
      <w:divBdr>
        <w:top w:val="none" w:sz="0" w:space="0" w:color="auto"/>
        <w:left w:val="none" w:sz="0" w:space="0" w:color="auto"/>
        <w:bottom w:val="none" w:sz="0" w:space="0" w:color="auto"/>
        <w:right w:val="none" w:sz="0" w:space="0" w:color="auto"/>
      </w:divBdr>
    </w:div>
    <w:div w:id="454982022">
      <w:bodyDiv w:val="1"/>
      <w:marLeft w:val="0"/>
      <w:marRight w:val="0"/>
      <w:marTop w:val="0"/>
      <w:marBottom w:val="0"/>
      <w:divBdr>
        <w:top w:val="none" w:sz="0" w:space="0" w:color="auto"/>
        <w:left w:val="none" w:sz="0" w:space="0" w:color="auto"/>
        <w:bottom w:val="none" w:sz="0" w:space="0" w:color="auto"/>
        <w:right w:val="none" w:sz="0" w:space="0" w:color="auto"/>
      </w:divBdr>
    </w:div>
    <w:div w:id="484977186">
      <w:bodyDiv w:val="1"/>
      <w:marLeft w:val="0"/>
      <w:marRight w:val="0"/>
      <w:marTop w:val="0"/>
      <w:marBottom w:val="0"/>
      <w:divBdr>
        <w:top w:val="none" w:sz="0" w:space="0" w:color="auto"/>
        <w:left w:val="none" w:sz="0" w:space="0" w:color="auto"/>
        <w:bottom w:val="none" w:sz="0" w:space="0" w:color="auto"/>
        <w:right w:val="none" w:sz="0" w:space="0" w:color="auto"/>
      </w:divBdr>
    </w:div>
    <w:div w:id="532616404">
      <w:bodyDiv w:val="1"/>
      <w:marLeft w:val="0"/>
      <w:marRight w:val="0"/>
      <w:marTop w:val="0"/>
      <w:marBottom w:val="0"/>
      <w:divBdr>
        <w:top w:val="none" w:sz="0" w:space="0" w:color="auto"/>
        <w:left w:val="none" w:sz="0" w:space="0" w:color="auto"/>
        <w:bottom w:val="none" w:sz="0" w:space="0" w:color="auto"/>
        <w:right w:val="none" w:sz="0" w:space="0" w:color="auto"/>
      </w:divBdr>
    </w:div>
    <w:div w:id="593517194">
      <w:bodyDiv w:val="1"/>
      <w:marLeft w:val="0"/>
      <w:marRight w:val="0"/>
      <w:marTop w:val="0"/>
      <w:marBottom w:val="0"/>
      <w:divBdr>
        <w:top w:val="none" w:sz="0" w:space="0" w:color="auto"/>
        <w:left w:val="none" w:sz="0" w:space="0" w:color="auto"/>
        <w:bottom w:val="none" w:sz="0" w:space="0" w:color="auto"/>
        <w:right w:val="none" w:sz="0" w:space="0" w:color="auto"/>
      </w:divBdr>
    </w:div>
    <w:div w:id="652022565">
      <w:bodyDiv w:val="1"/>
      <w:marLeft w:val="0"/>
      <w:marRight w:val="0"/>
      <w:marTop w:val="0"/>
      <w:marBottom w:val="0"/>
      <w:divBdr>
        <w:top w:val="none" w:sz="0" w:space="0" w:color="auto"/>
        <w:left w:val="none" w:sz="0" w:space="0" w:color="auto"/>
        <w:bottom w:val="none" w:sz="0" w:space="0" w:color="auto"/>
        <w:right w:val="none" w:sz="0" w:space="0" w:color="auto"/>
      </w:divBdr>
    </w:div>
    <w:div w:id="669143236">
      <w:bodyDiv w:val="1"/>
      <w:marLeft w:val="0"/>
      <w:marRight w:val="0"/>
      <w:marTop w:val="0"/>
      <w:marBottom w:val="0"/>
      <w:divBdr>
        <w:top w:val="none" w:sz="0" w:space="0" w:color="auto"/>
        <w:left w:val="none" w:sz="0" w:space="0" w:color="auto"/>
        <w:bottom w:val="none" w:sz="0" w:space="0" w:color="auto"/>
        <w:right w:val="none" w:sz="0" w:space="0" w:color="auto"/>
      </w:divBdr>
    </w:div>
    <w:div w:id="682245060">
      <w:bodyDiv w:val="1"/>
      <w:marLeft w:val="0"/>
      <w:marRight w:val="0"/>
      <w:marTop w:val="0"/>
      <w:marBottom w:val="0"/>
      <w:divBdr>
        <w:top w:val="none" w:sz="0" w:space="0" w:color="auto"/>
        <w:left w:val="none" w:sz="0" w:space="0" w:color="auto"/>
        <w:bottom w:val="none" w:sz="0" w:space="0" w:color="auto"/>
        <w:right w:val="none" w:sz="0" w:space="0" w:color="auto"/>
      </w:divBdr>
    </w:div>
    <w:div w:id="699009382">
      <w:bodyDiv w:val="1"/>
      <w:marLeft w:val="0"/>
      <w:marRight w:val="0"/>
      <w:marTop w:val="0"/>
      <w:marBottom w:val="0"/>
      <w:divBdr>
        <w:top w:val="none" w:sz="0" w:space="0" w:color="auto"/>
        <w:left w:val="none" w:sz="0" w:space="0" w:color="auto"/>
        <w:bottom w:val="none" w:sz="0" w:space="0" w:color="auto"/>
        <w:right w:val="none" w:sz="0" w:space="0" w:color="auto"/>
      </w:divBdr>
    </w:div>
    <w:div w:id="844200588">
      <w:bodyDiv w:val="1"/>
      <w:marLeft w:val="0"/>
      <w:marRight w:val="0"/>
      <w:marTop w:val="0"/>
      <w:marBottom w:val="0"/>
      <w:divBdr>
        <w:top w:val="none" w:sz="0" w:space="0" w:color="auto"/>
        <w:left w:val="none" w:sz="0" w:space="0" w:color="auto"/>
        <w:bottom w:val="none" w:sz="0" w:space="0" w:color="auto"/>
        <w:right w:val="none" w:sz="0" w:space="0" w:color="auto"/>
      </w:divBdr>
    </w:div>
    <w:div w:id="971135446">
      <w:bodyDiv w:val="1"/>
      <w:marLeft w:val="0"/>
      <w:marRight w:val="0"/>
      <w:marTop w:val="0"/>
      <w:marBottom w:val="0"/>
      <w:divBdr>
        <w:top w:val="none" w:sz="0" w:space="0" w:color="auto"/>
        <w:left w:val="none" w:sz="0" w:space="0" w:color="auto"/>
        <w:bottom w:val="none" w:sz="0" w:space="0" w:color="auto"/>
        <w:right w:val="none" w:sz="0" w:space="0" w:color="auto"/>
      </w:divBdr>
    </w:div>
    <w:div w:id="1017006607">
      <w:bodyDiv w:val="1"/>
      <w:marLeft w:val="0"/>
      <w:marRight w:val="0"/>
      <w:marTop w:val="0"/>
      <w:marBottom w:val="0"/>
      <w:divBdr>
        <w:top w:val="none" w:sz="0" w:space="0" w:color="auto"/>
        <w:left w:val="none" w:sz="0" w:space="0" w:color="auto"/>
        <w:bottom w:val="none" w:sz="0" w:space="0" w:color="auto"/>
        <w:right w:val="none" w:sz="0" w:space="0" w:color="auto"/>
      </w:divBdr>
    </w:div>
    <w:div w:id="1269384773">
      <w:bodyDiv w:val="1"/>
      <w:marLeft w:val="0"/>
      <w:marRight w:val="0"/>
      <w:marTop w:val="0"/>
      <w:marBottom w:val="0"/>
      <w:divBdr>
        <w:top w:val="none" w:sz="0" w:space="0" w:color="auto"/>
        <w:left w:val="none" w:sz="0" w:space="0" w:color="auto"/>
        <w:bottom w:val="none" w:sz="0" w:space="0" w:color="auto"/>
        <w:right w:val="none" w:sz="0" w:space="0" w:color="auto"/>
      </w:divBdr>
    </w:div>
    <w:div w:id="1310786885">
      <w:bodyDiv w:val="1"/>
      <w:marLeft w:val="0"/>
      <w:marRight w:val="0"/>
      <w:marTop w:val="0"/>
      <w:marBottom w:val="0"/>
      <w:divBdr>
        <w:top w:val="none" w:sz="0" w:space="0" w:color="auto"/>
        <w:left w:val="none" w:sz="0" w:space="0" w:color="auto"/>
        <w:bottom w:val="none" w:sz="0" w:space="0" w:color="auto"/>
        <w:right w:val="none" w:sz="0" w:space="0" w:color="auto"/>
      </w:divBdr>
    </w:div>
    <w:div w:id="1377193767">
      <w:bodyDiv w:val="1"/>
      <w:marLeft w:val="0"/>
      <w:marRight w:val="0"/>
      <w:marTop w:val="0"/>
      <w:marBottom w:val="0"/>
      <w:divBdr>
        <w:top w:val="none" w:sz="0" w:space="0" w:color="auto"/>
        <w:left w:val="none" w:sz="0" w:space="0" w:color="auto"/>
        <w:bottom w:val="none" w:sz="0" w:space="0" w:color="auto"/>
        <w:right w:val="none" w:sz="0" w:space="0" w:color="auto"/>
      </w:divBdr>
    </w:div>
    <w:div w:id="1474327006">
      <w:bodyDiv w:val="1"/>
      <w:marLeft w:val="0"/>
      <w:marRight w:val="0"/>
      <w:marTop w:val="0"/>
      <w:marBottom w:val="0"/>
      <w:divBdr>
        <w:top w:val="none" w:sz="0" w:space="0" w:color="auto"/>
        <w:left w:val="none" w:sz="0" w:space="0" w:color="auto"/>
        <w:bottom w:val="none" w:sz="0" w:space="0" w:color="auto"/>
        <w:right w:val="none" w:sz="0" w:space="0" w:color="auto"/>
      </w:divBdr>
    </w:div>
    <w:div w:id="1573195063">
      <w:bodyDiv w:val="1"/>
      <w:marLeft w:val="0"/>
      <w:marRight w:val="0"/>
      <w:marTop w:val="0"/>
      <w:marBottom w:val="0"/>
      <w:divBdr>
        <w:top w:val="none" w:sz="0" w:space="0" w:color="auto"/>
        <w:left w:val="none" w:sz="0" w:space="0" w:color="auto"/>
        <w:bottom w:val="none" w:sz="0" w:space="0" w:color="auto"/>
        <w:right w:val="none" w:sz="0" w:space="0" w:color="auto"/>
      </w:divBdr>
    </w:div>
    <w:div w:id="1681395580">
      <w:bodyDiv w:val="1"/>
      <w:marLeft w:val="0"/>
      <w:marRight w:val="0"/>
      <w:marTop w:val="0"/>
      <w:marBottom w:val="0"/>
      <w:divBdr>
        <w:top w:val="none" w:sz="0" w:space="0" w:color="auto"/>
        <w:left w:val="none" w:sz="0" w:space="0" w:color="auto"/>
        <w:bottom w:val="none" w:sz="0" w:space="0" w:color="auto"/>
        <w:right w:val="none" w:sz="0" w:space="0" w:color="auto"/>
      </w:divBdr>
    </w:div>
    <w:div w:id="1758790934">
      <w:bodyDiv w:val="1"/>
      <w:marLeft w:val="0"/>
      <w:marRight w:val="0"/>
      <w:marTop w:val="0"/>
      <w:marBottom w:val="0"/>
      <w:divBdr>
        <w:top w:val="none" w:sz="0" w:space="0" w:color="auto"/>
        <w:left w:val="none" w:sz="0" w:space="0" w:color="auto"/>
        <w:bottom w:val="none" w:sz="0" w:space="0" w:color="auto"/>
        <w:right w:val="none" w:sz="0" w:space="0" w:color="auto"/>
      </w:divBdr>
    </w:div>
    <w:div w:id="1828133274">
      <w:bodyDiv w:val="1"/>
      <w:marLeft w:val="0"/>
      <w:marRight w:val="0"/>
      <w:marTop w:val="0"/>
      <w:marBottom w:val="0"/>
      <w:divBdr>
        <w:top w:val="none" w:sz="0" w:space="0" w:color="auto"/>
        <w:left w:val="none" w:sz="0" w:space="0" w:color="auto"/>
        <w:bottom w:val="none" w:sz="0" w:space="0" w:color="auto"/>
        <w:right w:val="none" w:sz="0" w:space="0" w:color="auto"/>
      </w:divBdr>
    </w:div>
    <w:div w:id="1949390243">
      <w:bodyDiv w:val="1"/>
      <w:marLeft w:val="0"/>
      <w:marRight w:val="0"/>
      <w:marTop w:val="0"/>
      <w:marBottom w:val="0"/>
      <w:divBdr>
        <w:top w:val="none" w:sz="0" w:space="0" w:color="auto"/>
        <w:left w:val="none" w:sz="0" w:space="0" w:color="auto"/>
        <w:bottom w:val="none" w:sz="0" w:space="0" w:color="auto"/>
        <w:right w:val="none" w:sz="0" w:space="0" w:color="auto"/>
      </w:divBdr>
    </w:div>
    <w:div w:id="2047675495">
      <w:bodyDiv w:val="1"/>
      <w:marLeft w:val="0"/>
      <w:marRight w:val="0"/>
      <w:marTop w:val="0"/>
      <w:marBottom w:val="0"/>
      <w:divBdr>
        <w:top w:val="none" w:sz="0" w:space="0" w:color="auto"/>
        <w:left w:val="none" w:sz="0" w:space="0" w:color="auto"/>
        <w:bottom w:val="none" w:sz="0" w:space="0" w:color="auto"/>
        <w:right w:val="none" w:sz="0" w:space="0" w:color="auto"/>
      </w:divBdr>
    </w:div>
    <w:div w:id="2087652464">
      <w:bodyDiv w:val="1"/>
      <w:marLeft w:val="0"/>
      <w:marRight w:val="0"/>
      <w:marTop w:val="0"/>
      <w:marBottom w:val="0"/>
      <w:divBdr>
        <w:top w:val="none" w:sz="0" w:space="0" w:color="auto"/>
        <w:left w:val="none" w:sz="0" w:space="0" w:color="auto"/>
        <w:bottom w:val="none" w:sz="0" w:space="0" w:color="auto"/>
        <w:right w:val="none" w:sz="0" w:space="0" w:color="auto"/>
      </w:divBdr>
    </w:div>
    <w:div w:id="21078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3A944-D079-4CC2-B575-BAAF0399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1957</Words>
  <Characters>13504</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Salgó Vagyon Kft</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licsko.adrienn</dc:creator>
  <cp:lastModifiedBy>szabo.eva</cp:lastModifiedBy>
  <cp:revision>5</cp:revision>
  <cp:lastPrinted>2023-07-12T08:59:00Z</cp:lastPrinted>
  <dcterms:created xsi:type="dcterms:W3CDTF">2024-01-26T07:22:00Z</dcterms:created>
  <dcterms:modified xsi:type="dcterms:W3CDTF">2024-01-26T13:03:00Z</dcterms:modified>
</cp:coreProperties>
</file>